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highlight w:val="yellow"/>
        </w:rPr>
      </w:pPr>
      <w:r>
        <w:rPr>
          <w:color w:val="000080"/>
          <w:sz w:val="20"/>
          <w:highlight w:val="white"/>
        </w:rPr>
        <w:t xml:space="preserve">  </w:t>
      </w:r>
    </w:p>
    <w:p>
      <w:pPr>
        <w:wordWrap w:val="0"/>
        <w:bidi w:val="0"/>
        <w:spacing w:line="360" w:lineRule="auto"/>
        <w:jc w:val="center"/>
        <w:rPr>
          <w:sz w:val="44"/>
          <w:szCs w:val="44"/>
        </w:rPr>
      </w:pPr>
      <w:r>
        <w:rPr>
          <w:rFonts w:hint="eastAsia"/>
          <w:color w:val="0000FF"/>
          <w:sz w:val="44"/>
          <w:szCs w:val="44"/>
          <w:highlight w:val="white"/>
          <w:lang w:eastAsia="zh-CN"/>
        </w:rPr>
        <w:t>宿迁市第一人民医院综合楼大厅干挂壁瓷砖改造及感染楼干挂壁瓷砖加固工程</w:t>
      </w:r>
      <w:r>
        <w:rPr>
          <w:sz w:val="44"/>
          <w:szCs w:val="44"/>
          <w:highlight w:val="white"/>
        </w:rPr>
        <w:t>施工招标</w:t>
      </w:r>
    </w:p>
    <w:p>
      <w:pPr>
        <w:wordWrap w:val="0"/>
        <w:bidi w:val="0"/>
        <w:spacing w:line="360" w:lineRule="auto"/>
        <w:jc w:val="center"/>
        <w:rPr>
          <w:sz w:val="28"/>
          <w:szCs w:val="28"/>
        </w:rPr>
      </w:pPr>
    </w:p>
    <w:p>
      <w:pPr>
        <w:wordWrap w:val="0"/>
        <w:bidi w:val="0"/>
        <w:spacing w:line="360" w:lineRule="auto"/>
        <w:jc w:val="center"/>
        <w:rPr>
          <w:sz w:val="72"/>
          <w:szCs w:val="72"/>
        </w:rPr>
      </w:pPr>
    </w:p>
    <w:p>
      <w:pPr>
        <w:wordWrap w:val="0"/>
        <w:bidi w:val="0"/>
        <w:spacing w:line="360" w:lineRule="auto"/>
        <w:jc w:val="center"/>
        <w:rPr>
          <w:sz w:val="72"/>
          <w:szCs w:val="72"/>
        </w:rPr>
      </w:pPr>
      <w:r>
        <w:rPr>
          <w:sz w:val="72"/>
          <w:szCs w:val="72"/>
          <w:highlight w:val="white"/>
        </w:rPr>
        <w:t>招标文件</w:t>
      </w:r>
    </w:p>
    <w:p>
      <w:pPr>
        <w:wordWrap w:val="0"/>
        <w:bidi w:val="0"/>
        <w:spacing w:line="360" w:lineRule="auto"/>
        <w:jc w:val="center"/>
        <w:rPr>
          <w:sz w:val="28"/>
          <w:szCs w:val="28"/>
        </w:rPr>
      </w:pPr>
    </w:p>
    <w:p>
      <w:pPr>
        <w:wordWrap w:val="0"/>
        <w:bidi w:val="0"/>
        <w:spacing w:line="360" w:lineRule="auto"/>
        <w:jc w:val="center"/>
        <w:rPr>
          <w:rFonts w:hint="eastAsia" w:eastAsia="宋体"/>
          <w:sz w:val="28"/>
          <w:szCs w:val="28"/>
          <w:u w:val="single"/>
          <w:lang w:val="en-US" w:eastAsia="zh-CN"/>
        </w:rPr>
      </w:pPr>
      <w:r>
        <w:rPr>
          <w:sz w:val="28"/>
          <w:szCs w:val="28"/>
          <w:highlight w:val="white"/>
        </w:rPr>
        <w:t>标段编号：</w:t>
      </w:r>
      <w:r>
        <w:rPr>
          <w:rFonts w:hint="eastAsia"/>
          <w:color w:val="0000FF"/>
          <w:sz w:val="28"/>
          <w:szCs w:val="28"/>
          <w:highlight w:val="white"/>
          <w:lang w:val="en-US" w:eastAsia="zh-CN"/>
        </w:rPr>
        <w:t>JSZC[2024]0315号</w:t>
      </w:r>
    </w:p>
    <w:p>
      <w:pPr>
        <w:wordWrap w:val="0"/>
        <w:bidi w:val="0"/>
        <w:spacing w:line="360" w:lineRule="auto"/>
        <w:jc w:val="center"/>
        <w:rPr>
          <w:sz w:val="28"/>
          <w:szCs w:val="28"/>
        </w:rPr>
      </w:pPr>
    </w:p>
    <w:p>
      <w:pPr>
        <w:wordWrap w:val="0"/>
        <w:bidi w:val="0"/>
        <w:spacing w:line="360" w:lineRule="auto"/>
        <w:jc w:val="center"/>
        <w:rPr>
          <w:sz w:val="28"/>
          <w:szCs w:val="28"/>
        </w:rPr>
      </w:pPr>
    </w:p>
    <w:p>
      <w:pPr>
        <w:wordWrap w:val="0"/>
        <w:bidi w:val="0"/>
        <w:spacing w:line="360" w:lineRule="auto"/>
        <w:jc w:val="center"/>
        <w:rPr>
          <w:sz w:val="28"/>
          <w:szCs w:val="28"/>
        </w:rPr>
      </w:pPr>
    </w:p>
    <w:p>
      <w:pPr>
        <w:wordWrap w:val="0"/>
        <w:bidi w:val="0"/>
        <w:spacing w:line="360" w:lineRule="auto"/>
        <w:jc w:val="center"/>
        <w:rPr>
          <w:sz w:val="28"/>
          <w:szCs w:val="28"/>
        </w:rPr>
      </w:pPr>
    </w:p>
    <w:p>
      <w:pPr>
        <w:wordWrap w:val="0"/>
        <w:bidi w:val="0"/>
        <w:spacing w:line="360" w:lineRule="auto"/>
        <w:jc w:val="center"/>
        <w:rPr>
          <w:sz w:val="28"/>
          <w:szCs w:val="28"/>
        </w:rPr>
      </w:pPr>
    </w:p>
    <w:p>
      <w:pPr>
        <w:wordWrap w:val="0"/>
        <w:bidi w:val="0"/>
        <w:spacing w:line="360" w:lineRule="auto"/>
        <w:jc w:val="center"/>
        <w:rPr>
          <w:sz w:val="28"/>
          <w:szCs w:val="28"/>
        </w:rPr>
      </w:pPr>
    </w:p>
    <w:p>
      <w:pPr>
        <w:wordWrap w:val="0"/>
        <w:bidi w:val="0"/>
        <w:spacing w:line="360" w:lineRule="auto"/>
        <w:jc w:val="center"/>
        <w:rPr>
          <w:sz w:val="28"/>
          <w:szCs w:val="28"/>
        </w:rPr>
      </w:pPr>
    </w:p>
    <w:p>
      <w:pPr>
        <w:wordWrap w:val="0"/>
        <w:bidi w:val="0"/>
        <w:spacing w:line="360" w:lineRule="auto"/>
        <w:jc w:val="center"/>
        <w:rPr>
          <w:sz w:val="28"/>
          <w:szCs w:val="28"/>
        </w:rPr>
      </w:pPr>
    </w:p>
    <w:p>
      <w:pPr>
        <w:wordWrap w:val="0"/>
        <w:bidi w:val="0"/>
        <w:spacing w:line="360" w:lineRule="auto"/>
        <w:jc w:val="center"/>
        <w:rPr>
          <w:sz w:val="28"/>
          <w:szCs w:val="28"/>
        </w:rPr>
      </w:pPr>
    </w:p>
    <w:p>
      <w:pPr>
        <w:wordWrap w:val="0"/>
        <w:bidi w:val="0"/>
        <w:spacing w:line="360" w:lineRule="auto"/>
        <w:ind w:left="4488" w:leftChars="1197" w:hanging="1974" w:hangingChars="705"/>
        <w:rPr>
          <w:rFonts w:hint="eastAsia" w:eastAsia="宋体"/>
          <w:sz w:val="28"/>
          <w:szCs w:val="28"/>
          <w:lang w:eastAsia="zh-CN"/>
        </w:rPr>
      </w:pPr>
      <w:r>
        <w:rPr>
          <w:sz w:val="28"/>
          <w:szCs w:val="28"/>
          <w:highlight w:val="white"/>
        </w:rPr>
        <w:t>招   标   人：</w:t>
      </w:r>
      <w:r>
        <w:rPr>
          <w:rFonts w:hint="eastAsia"/>
          <w:color w:val="0000FF"/>
          <w:sz w:val="28"/>
          <w:szCs w:val="28"/>
          <w:highlight w:val="white"/>
          <w:lang w:eastAsia="zh-CN"/>
        </w:rPr>
        <w:t>宿迁市第一人民医院</w:t>
      </w:r>
    </w:p>
    <w:p>
      <w:pPr>
        <w:wordWrap w:val="0"/>
        <w:bidi w:val="0"/>
        <w:spacing w:line="360" w:lineRule="auto"/>
        <w:ind w:firstLine="2497" w:firstLineChars="892"/>
        <w:rPr>
          <w:rFonts w:hint="eastAsia" w:eastAsia="宋体"/>
          <w:color w:val="0000FF"/>
          <w:sz w:val="28"/>
          <w:szCs w:val="28"/>
          <w:lang w:eastAsia="zh-CN"/>
        </w:rPr>
      </w:pPr>
      <w:r>
        <w:rPr>
          <w:sz w:val="28"/>
          <w:szCs w:val="28"/>
          <w:highlight w:val="white"/>
        </w:rPr>
        <w:t>招标代理机构：</w:t>
      </w:r>
      <w:r>
        <w:rPr>
          <w:rFonts w:hint="eastAsia"/>
          <w:color w:val="0000FF"/>
          <w:sz w:val="28"/>
          <w:szCs w:val="28"/>
          <w:highlight w:val="white"/>
          <w:lang w:eastAsia="zh-CN"/>
        </w:rPr>
        <w:t>江苏正诚建设工程管理有限公司</w:t>
      </w:r>
    </w:p>
    <w:p>
      <w:pPr>
        <w:wordWrap w:val="0"/>
        <w:bidi w:val="0"/>
        <w:spacing w:line="360" w:lineRule="auto"/>
        <w:ind w:firstLine="2497" w:firstLineChars="892"/>
        <w:rPr>
          <w:sz w:val="28"/>
          <w:szCs w:val="28"/>
          <w:u w:val="single"/>
        </w:rPr>
      </w:pPr>
      <w:r>
        <w:rPr>
          <w:sz w:val="28"/>
          <w:szCs w:val="28"/>
          <w:highlight w:val="white"/>
        </w:rPr>
        <w:t>日期：</w:t>
      </w:r>
      <w:r>
        <w:rPr>
          <w:rFonts w:hint="eastAsia"/>
          <w:color w:val="0000FF"/>
          <w:sz w:val="28"/>
          <w:szCs w:val="28"/>
          <w:highlight w:val="white"/>
        </w:rPr>
        <w:t>202</w:t>
      </w:r>
      <w:r>
        <w:rPr>
          <w:rFonts w:hint="eastAsia"/>
          <w:color w:val="0000FF"/>
          <w:sz w:val="28"/>
          <w:szCs w:val="28"/>
          <w:highlight w:val="white"/>
          <w:lang w:val="en-US" w:eastAsia="zh-CN"/>
        </w:rPr>
        <w:t>4</w:t>
      </w:r>
      <w:r>
        <w:rPr>
          <w:rFonts w:hint="eastAsia"/>
          <w:color w:val="0000FF"/>
          <w:sz w:val="28"/>
          <w:szCs w:val="28"/>
          <w:highlight w:val="white"/>
        </w:rPr>
        <w:t>年</w:t>
      </w:r>
      <w:r>
        <w:rPr>
          <w:rFonts w:hint="eastAsia"/>
          <w:color w:val="0000FF"/>
          <w:sz w:val="28"/>
          <w:szCs w:val="28"/>
          <w:highlight w:val="white"/>
          <w:lang w:val="en-US" w:eastAsia="zh-CN"/>
        </w:rPr>
        <w:t>04</w:t>
      </w:r>
      <w:r>
        <w:rPr>
          <w:rFonts w:hint="eastAsia"/>
          <w:color w:val="0000FF"/>
          <w:sz w:val="28"/>
          <w:szCs w:val="28"/>
          <w:highlight w:val="white"/>
        </w:rPr>
        <w:t>月</w:t>
      </w:r>
      <w:r>
        <w:rPr>
          <w:rFonts w:hint="eastAsia"/>
          <w:color w:val="0000FF"/>
          <w:sz w:val="28"/>
          <w:szCs w:val="28"/>
          <w:highlight w:val="white"/>
          <w:lang w:val="en-US" w:eastAsia="zh-CN"/>
        </w:rPr>
        <w:t>23</w:t>
      </w:r>
      <w:r>
        <w:rPr>
          <w:rFonts w:hint="eastAsia"/>
          <w:color w:val="0000FF"/>
          <w:sz w:val="28"/>
          <w:szCs w:val="28"/>
          <w:highlight w:val="white"/>
        </w:rPr>
        <w:t>日</w:t>
      </w:r>
    </w:p>
    <w:p>
      <w:pPr>
        <w:bidi w:val="0"/>
        <w:rPr>
          <w:rFonts w:hint="eastAsia"/>
          <w:highlight w:val="cyan"/>
        </w:rPr>
      </w:pPr>
      <w:r>
        <w:rPr>
          <w:color w:val="000080"/>
          <w:sz w:val="20"/>
          <w:highlight w:val="white"/>
        </w:rPr>
        <w:t xml:space="preserve"> </w:t>
      </w:r>
    </w:p>
    <w:p>
      <w:pPr>
        <w:pStyle w:val="16"/>
        <w:wordWrap w:val="0"/>
        <w:bidi w:val="0"/>
        <w:ind w:firstLine="2880" w:firstLineChars="900"/>
        <w:rPr>
          <w:rFonts w:hint="eastAsia"/>
          <w:sz w:val="32"/>
          <w:szCs w:val="32"/>
        </w:rPr>
        <w:sectPr>
          <w:footerReference r:id="rId3" w:type="default"/>
          <w:footerReference r:id="rId4" w:type="even"/>
          <w:pgSz w:w="11906" w:h="16838"/>
          <w:pgMar w:top="1440" w:right="1559" w:bottom="1440" w:left="1560" w:header="851" w:footer="851" w:gutter="0"/>
          <w:cols w:space="720" w:num="1"/>
          <w:titlePg/>
          <w:docGrid w:linePitch="312" w:charSpace="0"/>
        </w:sectPr>
      </w:pPr>
    </w:p>
    <w:p>
      <w:pPr>
        <w:wordWrap w:val="0"/>
        <w:bidi w:val="0"/>
        <w:spacing w:after="240" w:afterLines="100" w:line="540" w:lineRule="exact"/>
        <w:rPr>
          <w:rFonts w:hint="eastAsia"/>
          <w:b/>
          <w:sz w:val="44"/>
          <w:szCs w:val="44"/>
        </w:rPr>
      </w:pPr>
    </w:p>
    <w:p>
      <w:pPr>
        <w:wordWrap w:val="0"/>
        <w:bidi w:val="0"/>
        <w:spacing w:after="240" w:afterLines="100" w:line="540" w:lineRule="exact"/>
        <w:jc w:val="center"/>
        <w:rPr>
          <w:b/>
          <w:sz w:val="44"/>
          <w:szCs w:val="44"/>
        </w:rPr>
      </w:pPr>
      <w:r>
        <w:rPr>
          <w:b/>
          <w:sz w:val="44"/>
          <w:szCs w:val="44"/>
          <w:highlight w:val="white"/>
        </w:rPr>
        <w:t>目  录</w:t>
      </w:r>
    </w:p>
    <w:p>
      <w:pPr>
        <w:pStyle w:val="10"/>
        <w:tabs>
          <w:tab w:val="right" w:leader="dot" w:pos="8787"/>
        </w:tabs>
      </w:pPr>
      <w:r>
        <w:fldChar w:fldCharType="begin"/>
      </w:r>
      <w:r>
        <w:rPr>
          <w:highlight w:val="white"/>
        </w:rPr>
        <w:instrText xml:space="preserve"> TOC \o "1-3" \u </w:instrText>
      </w:r>
      <w:r>
        <w:fldChar w:fldCharType="separate"/>
      </w:r>
      <w:r>
        <w:rPr>
          <w:highlight w:val="white"/>
        </w:rPr>
        <w:t>第一章  招标公告</w:t>
      </w:r>
      <w:r>
        <w:tab/>
      </w:r>
      <w:r>
        <w:fldChar w:fldCharType="begin"/>
      </w:r>
      <w:r>
        <w:instrText xml:space="preserve"> PAGEREF _Toc17576 \h </w:instrText>
      </w:r>
      <w:r>
        <w:fldChar w:fldCharType="separate"/>
      </w:r>
      <w:r>
        <w:t>1</w:t>
      </w:r>
      <w:r>
        <w:fldChar w:fldCharType="end"/>
      </w:r>
    </w:p>
    <w:p>
      <w:pPr>
        <w:pStyle w:val="11"/>
        <w:tabs>
          <w:tab w:val="right" w:leader="dot" w:pos="8787"/>
        </w:tabs>
      </w:pPr>
      <w:r>
        <w:rPr>
          <w:rFonts w:ascii="Times New Roman" w:hAnsi="Times New Roman"/>
          <w:highlight w:val="white"/>
        </w:rPr>
        <w:t>1. 招标条件</w:t>
      </w:r>
      <w:r>
        <w:tab/>
      </w:r>
      <w:r>
        <w:fldChar w:fldCharType="begin"/>
      </w:r>
      <w:r>
        <w:instrText xml:space="preserve"> PAGEREF _Toc28645 \h </w:instrText>
      </w:r>
      <w:r>
        <w:fldChar w:fldCharType="separate"/>
      </w:r>
      <w:r>
        <w:t>1</w:t>
      </w:r>
      <w:r>
        <w:fldChar w:fldCharType="end"/>
      </w:r>
    </w:p>
    <w:p>
      <w:pPr>
        <w:pStyle w:val="11"/>
        <w:tabs>
          <w:tab w:val="right" w:leader="dot" w:pos="8787"/>
        </w:tabs>
      </w:pPr>
      <w:r>
        <w:rPr>
          <w:rFonts w:ascii="Times New Roman" w:hAnsi="Times New Roman"/>
          <w:highlight w:val="white"/>
        </w:rPr>
        <w:t>2. 项目概况与招标范围</w:t>
      </w:r>
      <w:r>
        <w:tab/>
      </w:r>
      <w:r>
        <w:fldChar w:fldCharType="begin"/>
      </w:r>
      <w:r>
        <w:instrText xml:space="preserve"> PAGEREF _Toc14757 \h </w:instrText>
      </w:r>
      <w:r>
        <w:fldChar w:fldCharType="separate"/>
      </w:r>
      <w:r>
        <w:t>1</w:t>
      </w:r>
      <w:r>
        <w:fldChar w:fldCharType="end"/>
      </w:r>
    </w:p>
    <w:p>
      <w:pPr>
        <w:pStyle w:val="11"/>
        <w:tabs>
          <w:tab w:val="right" w:leader="dot" w:pos="8787"/>
        </w:tabs>
      </w:pPr>
      <w:r>
        <w:rPr>
          <w:rFonts w:ascii="Times New Roman" w:hAnsi="Times New Roman"/>
          <w:highlight w:val="white"/>
        </w:rPr>
        <w:t>3. 投标人资格要求</w:t>
      </w:r>
      <w:r>
        <w:tab/>
      </w:r>
      <w:r>
        <w:fldChar w:fldCharType="begin"/>
      </w:r>
      <w:r>
        <w:instrText xml:space="preserve"> PAGEREF _Toc21678 \h </w:instrText>
      </w:r>
      <w:r>
        <w:fldChar w:fldCharType="separate"/>
      </w:r>
      <w:r>
        <w:t>1</w:t>
      </w:r>
      <w:r>
        <w:fldChar w:fldCharType="end"/>
      </w:r>
    </w:p>
    <w:p>
      <w:pPr>
        <w:pStyle w:val="11"/>
        <w:tabs>
          <w:tab w:val="right" w:leader="dot" w:pos="8787"/>
        </w:tabs>
      </w:pPr>
      <w:r>
        <w:rPr>
          <w:rFonts w:ascii="Times New Roman" w:hAnsi="Times New Roman"/>
          <w:highlight w:val="white"/>
        </w:rPr>
        <w:t>4. 招标文件的获取</w:t>
      </w:r>
      <w:r>
        <w:tab/>
      </w:r>
      <w:r>
        <w:fldChar w:fldCharType="begin"/>
      </w:r>
      <w:r>
        <w:instrText xml:space="preserve"> PAGEREF _Toc19106 \h </w:instrText>
      </w:r>
      <w:r>
        <w:fldChar w:fldCharType="separate"/>
      </w:r>
      <w:r>
        <w:t>2</w:t>
      </w:r>
      <w:r>
        <w:fldChar w:fldCharType="end"/>
      </w:r>
    </w:p>
    <w:p>
      <w:pPr>
        <w:pStyle w:val="11"/>
        <w:tabs>
          <w:tab w:val="right" w:leader="dot" w:pos="8787"/>
        </w:tabs>
      </w:pPr>
      <w:r>
        <w:rPr>
          <w:rFonts w:ascii="Times New Roman" w:hAnsi="Times New Roman"/>
          <w:highlight w:val="white"/>
        </w:rPr>
        <w:t>5. 投标截止时间</w:t>
      </w:r>
      <w:r>
        <w:tab/>
      </w:r>
      <w:r>
        <w:fldChar w:fldCharType="begin"/>
      </w:r>
      <w:r>
        <w:instrText xml:space="preserve"> PAGEREF _Toc17357 \h </w:instrText>
      </w:r>
      <w:r>
        <w:fldChar w:fldCharType="separate"/>
      </w:r>
      <w:r>
        <w:t>2</w:t>
      </w:r>
      <w:r>
        <w:fldChar w:fldCharType="end"/>
      </w:r>
    </w:p>
    <w:p>
      <w:pPr>
        <w:pStyle w:val="11"/>
        <w:tabs>
          <w:tab w:val="right" w:leader="dot" w:pos="8787"/>
        </w:tabs>
      </w:pPr>
      <w:r>
        <w:rPr>
          <w:rFonts w:ascii="Times New Roman" w:hAnsi="Times New Roman"/>
          <w:highlight w:val="white"/>
        </w:rPr>
        <w:t>6. 资格审查</w:t>
      </w:r>
      <w:r>
        <w:tab/>
      </w:r>
      <w:r>
        <w:fldChar w:fldCharType="begin"/>
      </w:r>
      <w:r>
        <w:instrText xml:space="preserve"> PAGEREF _Toc30381 \h </w:instrText>
      </w:r>
      <w:r>
        <w:fldChar w:fldCharType="separate"/>
      </w:r>
      <w:r>
        <w:t>3</w:t>
      </w:r>
      <w:r>
        <w:fldChar w:fldCharType="end"/>
      </w:r>
    </w:p>
    <w:p>
      <w:pPr>
        <w:pStyle w:val="11"/>
        <w:tabs>
          <w:tab w:val="right" w:leader="dot" w:pos="8787"/>
        </w:tabs>
      </w:pPr>
      <w:r>
        <w:rPr>
          <w:rFonts w:ascii="Times New Roman" w:hAnsi="Times New Roman"/>
          <w:highlight w:val="white"/>
        </w:rPr>
        <w:t>7. 评标方法</w:t>
      </w:r>
      <w:r>
        <w:tab/>
      </w:r>
      <w:r>
        <w:fldChar w:fldCharType="begin"/>
      </w:r>
      <w:r>
        <w:instrText xml:space="preserve"> PAGEREF _Toc13467 \h </w:instrText>
      </w:r>
      <w:r>
        <w:fldChar w:fldCharType="separate"/>
      </w:r>
      <w:r>
        <w:t>3</w:t>
      </w:r>
      <w:r>
        <w:fldChar w:fldCharType="end"/>
      </w:r>
    </w:p>
    <w:p>
      <w:pPr>
        <w:pStyle w:val="11"/>
        <w:tabs>
          <w:tab w:val="right" w:leader="dot" w:pos="8787"/>
        </w:tabs>
      </w:pPr>
      <w:r>
        <w:rPr>
          <w:rFonts w:hint="eastAsia" w:ascii="Times New Roman" w:hAnsi="Times New Roman"/>
          <w:highlight w:val="white"/>
        </w:rPr>
        <w:t>8</w:t>
      </w:r>
      <w:r>
        <w:rPr>
          <w:rFonts w:ascii="Times New Roman" w:hAnsi="Times New Roman"/>
          <w:highlight w:val="white"/>
        </w:rPr>
        <w:t>.</w:t>
      </w:r>
      <w:r>
        <w:rPr>
          <w:rFonts w:hint="eastAsia" w:ascii="Times New Roman" w:hAnsi="Times New Roman"/>
          <w:highlight w:val="white"/>
        </w:rPr>
        <w:t xml:space="preserve"> </w:t>
      </w:r>
      <w:r>
        <w:rPr>
          <w:rFonts w:ascii="Times New Roman" w:hAnsi="Times New Roman"/>
          <w:highlight w:val="white"/>
        </w:rPr>
        <w:t>发布公告的媒介</w:t>
      </w:r>
      <w:r>
        <w:tab/>
      </w:r>
      <w:r>
        <w:fldChar w:fldCharType="begin"/>
      </w:r>
      <w:r>
        <w:instrText xml:space="preserve"> PAGEREF _Toc8726 \h </w:instrText>
      </w:r>
      <w:r>
        <w:fldChar w:fldCharType="separate"/>
      </w:r>
      <w:r>
        <w:t>3</w:t>
      </w:r>
      <w:r>
        <w:fldChar w:fldCharType="end"/>
      </w:r>
    </w:p>
    <w:p>
      <w:pPr>
        <w:pStyle w:val="11"/>
        <w:tabs>
          <w:tab w:val="right" w:leader="dot" w:pos="8787"/>
        </w:tabs>
      </w:pPr>
      <w:r>
        <w:rPr>
          <w:rFonts w:hint="eastAsia" w:ascii="Times New Roman" w:hAnsi="Times New Roman"/>
          <w:highlight w:val="white"/>
        </w:rPr>
        <w:t>9</w:t>
      </w:r>
      <w:r>
        <w:rPr>
          <w:rFonts w:ascii="Times New Roman" w:hAnsi="Times New Roman"/>
          <w:highlight w:val="white"/>
        </w:rPr>
        <w:t>.</w:t>
      </w:r>
      <w:r>
        <w:rPr>
          <w:rFonts w:hint="eastAsia" w:ascii="Times New Roman" w:hAnsi="Times New Roman"/>
          <w:highlight w:val="white"/>
        </w:rPr>
        <w:t xml:space="preserve"> </w:t>
      </w:r>
      <w:r>
        <w:rPr>
          <w:rFonts w:ascii="Times New Roman" w:hAnsi="Times New Roman"/>
          <w:highlight w:val="white"/>
        </w:rPr>
        <w:t>联系方式</w:t>
      </w:r>
      <w:r>
        <w:tab/>
      </w:r>
      <w:r>
        <w:fldChar w:fldCharType="begin"/>
      </w:r>
      <w:r>
        <w:instrText xml:space="preserve"> PAGEREF _Toc8961 \h </w:instrText>
      </w:r>
      <w:r>
        <w:fldChar w:fldCharType="separate"/>
      </w:r>
      <w:r>
        <w:t>3</w:t>
      </w:r>
      <w:r>
        <w:fldChar w:fldCharType="end"/>
      </w:r>
    </w:p>
    <w:p>
      <w:pPr>
        <w:pStyle w:val="10"/>
        <w:tabs>
          <w:tab w:val="right" w:leader="dot" w:pos="8787"/>
        </w:tabs>
      </w:pPr>
      <w:r>
        <w:rPr>
          <w:highlight w:val="white"/>
        </w:rPr>
        <w:t>第二章  投标人须知</w:t>
      </w:r>
      <w:r>
        <w:tab/>
      </w:r>
      <w:r>
        <w:fldChar w:fldCharType="begin"/>
      </w:r>
      <w:r>
        <w:instrText xml:space="preserve"> PAGEREF _Toc18071 \h </w:instrText>
      </w:r>
      <w:r>
        <w:fldChar w:fldCharType="separate"/>
      </w:r>
      <w:r>
        <w:t>4</w:t>
      </w:r>
      <w:r>
        <w:fldChar w:fldCharType="end"/>
      </w:r>
    </w:p>
    <w:p>
      <w:pPr>
        <w:pStyle w:val="10"/>
        <w:tabs>
          <w:tab w:val="right" w:leader="dot" w:pos="8787"/>
        </w:tabs>
      </w:pPr>
      <w:r>
        <w:rPr>
          <w:highlight w:val="white"/>
        </w:rPr>
        <w:t>投标人须知前附表</w:t>
      </w:r>
      <w:r>
        <w:tab/>
      </w:r>
      <w:r>
        <w:fldChar w:fldCharType="begin"/>
      </w:r>
      <w:r>
        <w:instrText xml:space="preserve"> PAGEREF _Toc8579 \h </w:instrText>
      </w:r>
      <w:r>
        <w:fldChar w:fldCharType="separate"/>
      </w:r>
      <w:r>
        <w:t>4</w:t>
      </w:r>
      <w:r>
        <w:fldChar w:fldCharType="end"/>
      </w:r>
    </w:p>
    <w:p>
      <w:pPr>
        <w:pStyle w:val="10"/>
        <w:tabs>
          <w:tab w:val="right" w:leader="dot" w:pos="8787"/>
        </w:tabs>
      </w:pPr>
      <w:r>
        <w:rPr>
          <w:highlight w:val="white"/>
        </w:rPr>
        <w:t>投标人须知</w:t>
      </w:r>
      <w:r>
        <w:tab/>
      </w:r>
      <w:r>
        <w:fldChar w:fldCharType="begin"/>
      </w:r>
      <w:r>
        <w:instrText xml:space="preserve"> PAGEREF _Toc21929 \h </w:instrText>
      </w:r>
      <w:r>
        <w:fldChar w:fldCharType="separate"/>
      </w:r>
      <w:r>
        <w:t>9</w:t>
      </w:r>
      <w:r>
        <w:fldChar w:fldCharType="end"/>
      </w:r>
    </w:p>
    <w:p>
      <w:pPr>
        <w:pStyle w:val="11"/>
        <w:tabs>
          <w:tab w:val="right" w:leader="dot" w:pos="8787"/>
        </w:tabs>
      </w:pPr>
      <w:r>
        <w:rPr>
          <w:rFonts w:ascii="Times New Roman" w:hAnsi="Times New Roman"/>
          <w:highlight w:val="white"/>
        </w:rPr>
        <w:t>总则</w:t>
      </w:r>
      <w:r>
        <w:tab/>
      </w:r>
      <w:r>
        <w:fldChar w:fldCharType="begin"/>
      </w:r>
      <w:r>
        <w:instrText xml:space="preserve"> PAGEREF _Toc26792 \h </w:instrText>
      </w:r>
      <w:r>
        <w:fldChar w:fldCharType="separate"/>
      </w:r>
      <w:r>
        <w:t>9</w:t>
      </w:r>
      <w:r>
        <w:fldChar w:fldCharType="end"/>
      </w:r>
    </w:p>
    <w:p>
      <w:pPr>
        <w:pStyle w:val="7"/>
        <w:tabs>
          <w:tab w:val="right" w:leader="dot" w:pos="8787"/>
        </w:tabs>
      </w:pPr>
      <w:r>
        <w:rPr>
          <w:highlight w:val="white"/>
        </w:rPr>
        <w:t>1.1 项目概况</w:t>
      </w:r>
      <w:r>
        <w:tab/>
      </w:r>
      <w:r>
        <w:fldChar w:fldCharType="begin"/>
      </w:r>
      <w:r>
        <w:instrText xml:space="preserve"> PAGEREF _Toc26308 \h </w:instrText>
      </w:r>
      <w:r>
        <w:fldChar w:fldCharType="separate"/>
      </w:r>
      <w:r>
        <w:t>9</w:t>
      </w:r>
      <w:r>
        <w:fldChar w:fldCharType="end"/>
      </w:r>
    </w:p>
    <w:p>
      <w:pPr>
        <w:pStyle w:val="7"/>
        <w:tabs>
          <w:tab w:val="right" w:leader="dot" w:pos="8787"/>
        </w:tabs>
      </w:pPr>
      <w:r>
        <w:rPr>
          <w:highlight w:val="white"/>
        </w:rPr>
        <w:t>1.2 资金来源和落实情况</w:t>
      </w:r>
      <w:r>
        <w:tab/>
      </w:r>
      <w:r>
        <w:fldChar w:fldCharType="begin"/>
      </w:r>
      <w:r>
        <w:instrText xml:space="preserve"> PAGEREF _Toc14039 \h </w:instrText>
      </w:r>
      <w:r>
        <w:fldChar w:fldCharType="separate"/>
      </w:r>
      <w:r>
        <w:t>9</w:t>
      </w:r>
      <w:r>
        <w:fldChar w:fldCharType="end"/>
      </w:r>
    </w:p>
    <w:p>
      <w:pPr>
        <w:pStyle w:val="7"/>
        <w:tabs>
          <w:tab w:val="right" w:leader="dot" w:pos="8787"/>
        </w:tabs>
      </w:pPr>
      <w:r>
        <w:rPr>
          <w:highlight w:val="white"/>
        </w:rPr>
        <w:t>1.3 招标范围、计划工期和质量要求</w:t>
      </w:r>
      <w:r>
        <w:tab/>
      </w:r>
      <w:r>
        <w:fldChar w:fldCharType="begin"/>
      </w:r>
      <w:r>
        <w:instrText xml:space="preserve"> PAGEREF _Toc22615 \h </w:instrText>
      </w:r>
      <w:r>
        <w:fldChar w:fldCharType="separate"/>
      </w:r>
      <w:r>
        <w:t>9</w:t>
      </w:r>
      <w:r>
        <w:fldChar w:fldCharType="end"/>
      </w:r>
    </w:p>
    <w:p>
      <w:pPr>
        <w:pStyle w:val="7"/>
        <w:tabs>
          <w:tab w:val="right" w:leader="dot" w:pos="8787"/>
        </w:tabs>
      </w:pPr>
      <w:r>
        <w:rPr>
          <w:highlight w:val="white"/>
        </w:rPr>
        <w:t>1.4 投标人资格要求</w:t>
      </w:r>
      <w:r>
        <w:tab/>
      </w:r>
      <w:r>
        <w:fldChar w:fldCharType="begin"/>
      </w:r>
      <w:r>
        <w:instrText xml:space="preserve"> PAGEREF _Toc11226 \h </w:instrText>
      </w:r>
      <w:r>
        <w:fldChar w:fldCharType="separate"/>
      </w:r>
      <w:r>
        <w:t>9</w:t>
      </w:r>
      <w:r>
        <w:fldChar w:fldCharType="end"/>
      </w:r>
    </w:p>
    <w:p>
      <w:pPr>
        <w:pStyle w:val="7"/>
        <w:tabs>
          <w:tab w:val="right" w:leader="dot" w:pos="8787"/>
        </w:tabs>
      </w:pPr>
      <w:r>
        <w:rPr>
          <w:highlight w:val="white"/>
        </w:rPr>
        <w:t>1.5 费用承担</w:t>
      </w:r>
      <w:r>
        <w:tab/>
      </w:r>
      <w:r>
        <w:fldChar w:fldCharType="begin"/>
      </w:r>
      <w:r>
        <w:instrText xml:space="preserve"> PAGEREF _Toc439 \h </w:instrText>
      </w:r>
      <w:r>
        <w:fldChar w:fldCharType="separate"/>
      </w:r>
      <w:r>
        <w:t>10</w:t>
      </w:r>
      <w:r>
        <w:fldChar w:fldCharType="end"/>
      </w:r>
    </w:p>
    <w:p>
      <w:pPr>
        <w:pStyle w:val="7"/>
        <w:tabs>
          <w:tab w:val="right" w:leader="dot" w:pos="8787"/>
        </w:tabs>
      </w:pPr>
      <w:r>
        <w:rPr>
          <w:highlight w:val="white"/>
        </w:rPr>
        <w:t>1.6 保密</w:t>
      </w:r>
      <w:r>
        <w:tab/>
      </w:r>
      <w:r>
        <w:fldChar w:fldCharType="begin"/>
      </w:r>
      <w:r>
        <w:instrText xml:space="preserve"> PAGEREF _Toc26016 \h </w:instrText>
      </w:r>
      <w:r>
        <w:fldChar w:fldCharType="separate"/>
      </w:r>
      <w:r>
        <w:t>10</w:t>
      </w:r>
      <w:r>
        <w:fldChar w:fldCharType="end"/>
      </w:r>
    </w:p>
    <w:p>
      <w:pPr>
        <w:pStyle w:val="7"/>
        <w:tabs>
          <w:tab w:val="right" w:leader="dot" w:pos="8787"/>
        </w:tabs>
      </w:pPr>
      <w:r>
        <w:rPr>
          <w:highlight w:val="white"/>
        </w:rPr>
        <w:t>1.7 语言文字</w:t>
      </w:r>
      <w:r>
        <w:tab/>
      </w:r>
      <w:r>
        <w:fldChar w:fldCharType="begin"/>
      </w:r>
      <w:r>
        <w:instrText xml:space="preserve"> PAGEREF _Toc17754 \h </w:instrText>
      </w:r>
      <w:r>
        <w:fldChar w:fldCharType="separate"/>
      </w:r>
      <w:r>
        <w:t>10</w:t>
      </w:r>
      <w:r>
        <w:fldChar w:fldCharType="end"/>
      </w:r>
    </w:p>
    <w:p>
      <w:pPr>
        <w:pStyle w:val="7"/>
        <w:tabs>
          <w:tab w:val="right" w:leader="dot" w:pos="8787"/>
        </w:tabs>
      </w:pPr>
      <w:r>
        <w:rPr>
          <w:highlight w:val="white"/>
        </w:rPr>
        <w:t>1.8 计量单位</w:t>
      </w:r>
      <w:r>
        <w:tab/>
      </w:r>
      <w:r>
        <w:fldChar w:fldCharType="begin"/>
      </w:r>
      <w:r>
        <w:instrText xml:space="preserve"> PAGEREF _Toc4091 \h </w:instrText>
      </w:r>
      <w:r>
        <w:fldChar w:fldCharType="separate"/>
      </w:r>
      <w:r>
        <w:t>11</w:t>
      </w:r>
      <w:r>
        <w:fldChar w:fldCharType="end"/>
      </w:r>
    </w:p>
    <w:p>
      <w:pPr>
        <w:pStyle w:val="7"/>
        <w:tabs>
          <w:tab w:val="right" w:leader="dot" w:pos="8787"/>
        </w:tabs>
      </w:pPr>
      <w:r>
        <w:rPr>
          <w:highlight w:val="white"/>
        </w:rPr>
        <w:t>1.9 踏勘现场</w:t>
      </w:r>
      <w:r>
        <w:tab/>
      </w:r>
      <w:r>
        <w:fldChar w:fldCharType="begin"/>
      </w:r>
      <w:r>
        <w:instrText xml:space="preserve"> PAGEREF _Toc3610 \h </w:instrText>
      </w:r>
      <w:r>
        <w:fldChar w:fldCharType="separate"/>
      </w:r>
      <w:r>
        <w:t>11</w:t>
      </w:r>
      <w:r>
        <w:fldChar w:fldCharType="end"/>
      </w:r>
    </w:p>
    <w:p>
      <w:pPr>
        <w:pStyle w:val="7"/>
        <w:tabs>
          <w:tab w:val="right" w:leader="dot" w:pos="8787"/>
        </w:tabs>
      </w:pPr>
      <w:r>
        <w:rPr>
          <w:highlight w:val="white"/>
        </w:rPr>
        <w:t>1.10分包</w:t>
      </w:r>
      <w:r>
        <w:tab/>
      </w:r>
      <w:r>
        <w:fldChar w:fldCharType="begin"/>
      </w:r>
      <w:r>
        <w:instrText xml:space="preserve"> PAGEREF _Toc26478 \h </w:instrText>
      </w:r>
      <w:r>
        <w:fldChar w:fldCharType="separate"/>
      </w:r>
      <w:r>
        <w:t>11</w:t>
      </w:r>
      <w:r>
        <w:fldChar w:fldCharType="end"/>
      </w:r>
    </w:p>
    <w:p>
      <w:pPr>
        <w:pStyle w:val="7"/>
        <w:tabs>
          <w:tab w:val="right" w:leader="dot" w:pos="8787"/>
        </w:tabs>
      </w:pPr>
      <w:r>
        <w:rPr>
          <w:highlight w:val="white"/>
        </w:rPr>
        <w:t>1.11 偏离</w:t>
      </w:r>
      <w:r>
        <w:tab/>
      </w:r>
      <w:r>
        <w:fldChar w:fldCharType="begin"/>
      </w:r>
      <w:r>
        <w:instrText xml:space="preserve"> PAGEREF _Toc22350 \h </w:instrText>
      </w:r>
      <w:r>
        <w:fldChar w:fldCharType="separate"/>
      </w:r>
      <w:r>
        <w:t>11</w:t>
      </w:r>
      <w:r>
        <w:fldChar w:fldCharType="end"/>
      </w:r>
    </w:p>
    <w:p>
      <w:pPr>
        <w:pStyle w:val="7"/>
        <w:tabs>
          <w:tab w:val="right" w:leader="dot" w:pos="8787"/>
        </w:tabs>
      </w:pPr>
      <w:r>
        <w:rPr>
          <w:highlight w:val="white"/>
        </w:rPr>
        <w:t>1.12知识产权</w:t>
      </w:r>
      <w:r>
        <w:tab/>
      </w:r>
      <w:r>
        <w:fldChar w:fldCharType="begin"/>
      </w:r>
      <w:r>
        <w:instrText xml:space="preserve"> PAGEREF _Toc28487 \h </w:instrText>
      </w:r>
      <w:r>
        <w:fldChar w:fldCharType="separate"/>
      </w:r>
      <w:r>
        <w:t>11</w:t>
      </w:r>
      <w:r>
        <w:fldChar w:fldCharType="end"/>
      </w:r>
    </w:p>
    <w:p>
      <w:pPr>
        <w:pStyle w:val="7"/>
        <w:tabs>
          <w:tab w:val="right" w:leader="dot" w:pos="8787"/>
        </w:tabs>
      </w:pPr>
      <w:r>
        <w:rPr>
          <w:highlight w:val="white"/>
        </w:rPr>
        <w:t>1.13同义词语</w:t>
      </w:r>
      <w:r>
        <w:tab/>
      </w:r>
      <w:r>
        <w:fldChar w:fldCharType="begin"/>
      </w:r>
      <w:r>
        <w:instrText xml:space="preserve"> PAGEREF _Toc7937 \h </w:instrText>
      </w:r>
      <w:r>
        <w:fldChar w:fldCharType="separate"/>
      </w:r>
      <w:r>
        <w:t>11</w:t>
      </w:r>
      <w:r>
        <w:fldChar w:fldCharType="end"/>
      </w:r>
    </w:p>
    <w:p>
      <w:pPr>
        <w:pStyle w:val="11"/>
        <w:tabs>
          <w:tab w:val="right" w:leader="dot" w:pos="8787"/>
        </w:tabs>
      </w:pPr>
      <w:r>
        <w:rPr>
          <w:rFonts w:ascii="Times New Roman" w:hAnsi="Times New Roman"/>
          <w:highlight w:val="white"/>
        </w:rPr>
        <w:t>2 招标文件</w:t>
      </w:r>
      <w:r>
        <w:tab/>
      </w:r>
      <w:r>
        <w:fldChar w:fldCharType="begin"/>
      </w:r>
      <w:r>
        <w:instrText xml:space="preserve"> PAGEREF _Toc23953 \h </w:instrText>
      </w:r>
      <w:r>
        <w:fldChar w:fldCharType="separate"/>
      </w:r>
      <w:r>
        <w:t>11</w:t>
      </w:r>
      <w:r>
        <w:fldChar w:fldCharType="end"/>
      </w:r>
    </w:p>
    <w:p>
      <w:pPr>
        <w:pStyle w:val="7"/>
        <w:tabs>
          <w:tab w:val="right" w:leader="dot" w:pos="8787"/>
        </w:tabs>
      </w:pPr>
      <w:r>
        <w:rPr>
          <w:highlight w:val="white"/>
        </w:rPr>
        <w:t>2.1 招标文件的组成</w:t>
      </w:r>
      <w:r>
        <w:tab/>
      </w:r>
      <w:r>
        <w:fldChar w:fldCharType="begin"/>
      </w:r>
      <w:r>
        <w:instrText xml:space="preserve"> PAGEREF _Toc23186 \h </w:instrText>
      </w:r>
      <w:r>
        <w:fldChar w:fldCharType="separate"/>
      </w:r>
      <w:r>
        <w:t>12</w:t>
      </w:r>
      <w:r>
        <w:fldChar w:fldCharType="end"/>
      </w:r>
    </w:p>
    <w:p>
      <w:pPr>
        <w:pStyle w:val="7"/>
        <w:tabs>
          <w:tab w:val="right" w:leader="dot" w:pos="8787"/>
        </w:tabs>
      </w:pPr>
      <w:r>
        <w:rPr>
          <w:highlight w:val="white"/>
        </w:rPr>
        <w:t>2.2 招标文件的澄清</w:t>
      </w:r>
      <w:r>
        <w:tab/>
      </w:r>
      <w:r>
        <w:fldChar w:fldCharType="begin"/>
      </w:r>
      <w:r>
        <w:instrText xml:space="preserve"> PAGEREF _Toc5037 \h </w:instrText>
      </w:r>
      <w:r>
        <w:fldChar w:fldCharType="separate"/>
      </w:r>
      <w:r>
        <w:t>12</w:t>
      </w:r>
      <w:r>
        <w:fldChar w:fldCharType="end"/>
      </w:r>
    </w:p>
    <w:p>
      <w:pPr>
        <w:pStyle w:val="7"/>
        <w:tabs>
          <w:tab w:val="right" w:leader="dot" w:pos="8787"/>
        </w:tabs>
      </w:pPr>
      <w:r>
        <w:rPr>
          <w:highlight w:val="white"/>
        </w:rPr>
        <w:t>2.3 招标文件的修改</w:t>
      </w:r>
      <w:r>
        <w:tab/>
      </w:r>
      <w:r>
        <w:fldChar w:fldCharType="begin"/>
      </w:r>
      <w:r>
        <w:instrText xml:space="preserve"> PAGEREF _Toc2419 \h </w:instrText>
      </w:r>
      <w:r>
        <w:fldChar w:fldCharType="separate"/>
      </w:r>
      <w:r>
        <w:t>12</w:t>
      </w:r>
      <w:r>
        <w:fldChar w:fldCharType="end"/>
      </w:r>
    </w:p>
    <w:p>
      <w:pPr>
        <w:pStyle w:val="7"/>
        <w:tabs>
          <w:tab w:val="right" w:leader="dot" w:pos="8787"/>
        </w:tabs>
      </w:pPr>
      <w:r>
        <w:rPr>
          <w:highlight w:val="white"/>
        </w:rPr>
        <w:t>2.4 招标控制价</w:t>
      </w:r>
      <w:r>
        <w:tab/>
      </w:r>
      <w:r>
        <w:fldChar w:fldCharType="begin"/>
      </w:r>
      <w:r>
        <w:instrText xml:space="preserve"> PAGEREF _Toc28812 \h </w:instrText>
      </w:r>
      <w:r>
        <w:fldChar w:fldCharType="separate"/>
      </w:r>
      <w:r>
        <w:t>13</w:t>
      </w:r>
      <w:r>
        <w:fldChar w:fldCharType="end"/>
      </w:r>
    </w:p>
    <w:p>
      <w:pPr>
        <w:pStyle w:val="11"/>
        <w:tabs>
          <w:tab w:val="right" w:leader="dot" w:pos="8787"/>
        </w:tabs>
      </w:pPr>
      <w:r>
        <w:rPr>
          <w:rFonts w:ascii="Times New Roman" w:hAnsi="Times New Roman"/>
          <w:highlight w:val="white"/>
        </w:rPr>
        <w:t>3 投标文件</w:t>
      </w:r>
      <w:r>
        <w:tab/>
      </w:r>
      <w:r>
        <w:fldChar w:fldCharType="begin"/>
      </w:r>
      <w:r>
        <w:instrText xml:space="preserve"> PAGEREF _Toc7921 \h </w:instrText>
      </w:r>
      <w:r>
        <w:fldChar w:fldCharType="separate"/>
      </w:r>
      <w:r>
        <w:t>13</w:t>
      </w:r>
      <w:r>
        <w:fldChar w:fldCharType="end"/>
      </w:r>
    </w:p>
    <w:p>
      <w:pPr>
        <w:pStyle w:val="7"/>
        <w:tabs>
          <w:tab w:val="right" w:leader="dot" w:pos="8787"/>
        </w:tabs>
      </w:pPr>
      <w:r>
        <w:rPr>
          <w:highlight w:val="white"/>
        </w:rPr>
        <w:t>3.1 投标文件的组成</w:t>
      </w:r>
      <w:r>
        <w:tab/>
      </w:r>
      <w:r>
        <w:fldChar w:fldCharType="begin"/>
      </w:r>
      <w:r>
        <w:instrText xml:space="preserve"> PAGEREF _Toc29153 \h </w:instrText>
      </w:r>
      <w:r>
        <w:fldChar w:fldCharType="separate"/>
      </w:r>
      <w:r>
        <w:t>13</w:t>
      </w:r>
      <w:r>
        <w:fldChar w:fldCharType="end"/>
      </w:r>
    </w:p>
    <w:p>
      <w:pPr>
        <w:pStyle w:val="7"/>
        <w:tabs>
          <w:tab w:val="right" w:leader="dot" w:pos="8787"/>
        </w:tabs>
      </w:pPr>
      <w:r>
        <w:rPr>
          <w:highlight w:val="white"/>
        </w:rPr>
        <w:t>3.2 投标报价</w:t>
      </w:r>
      <w:r>
        <w:tab/>
      </w:r>
      <w:r>
        <w:fldChar w:fldCharType="begin"/>
      </w:r>
      <w:r>
        <w:instrText xml:space="preserve"> PAGEREF _Toc807 \h </w:instrText>
      </w:r>
      <w:r>
        <w:fldChar w:fldCharType="separate"/>
      </w:r>
      <w:r>
        <w:t>13</w:t>
      </w:r>
      <w:r>
        <w:fldChar w:fldCharType="end"/>
      </w:r>
    </w:p>
    <w:p>
      <w:pPr>
        <w:pStyle w:val="7"/>
        <w:tabs>
          <w:tab w:val="right" w:leader="dot" w:pos="8787"/>
        </w:tabs>
      </w:pPr>
      <w:r>
        <w:rPr>
          <w:highlight w:val="white"/>
        </w:rPr>
        <w:t>3.3 投标有效期</w:t>
      </w:r>
      <w:r>
        <w:tab/>
      </w:r>
      <w:r>
        <w:fldChar w:fldCharType="begin"/>
      </w:r>
      <w:r>
        <w:instrText xml:space="preserve"> PAGEREF _Toc967 \h </w:instrText>
      </w:r>
      <w:r>
        <w:fldChar w:fldCharType="separate"/>
      </w:r>
      <w:r>
        <w:t>14</w:t>
      </w:r>
      <w:r>
        <w:fldChar w:fldCharType="end"/>
      </w:r>
    </w:p>
    <w:p>
      <w:pPr>
        <w:pStyle w:val="7"/>
        <w:tabs>
          <w:tab w:val="right" w:leader="dot" w:pos="8787"/>
        </w:tabs>
      </w:pPr>
      <w:r>
        <w:rPr>
          <w:highlight w:val="white"/>
        </w:rPr>
        <w:t>3.4 投标保证金</w:t>
      </w:r>
      <w:r>
        <w:tab/>
      </w:r>
      <w:r>
        <w:fldChar w:fldCharType="begin"/>
      </w:r>
      <w:r>
        <w:instrText xml:space="preserve"> PAGEREF _Toc11394 \h </w:instrText>
      </w:r>
      <w:r>
        <w:fldChar w:fldCharType="separate"/>
      </w:r>
      <w:r>
        <w:t>14</w:t>
      </w:r>
      <w:r>
        <w:fldChar w:fldCharType="end"/>
      </w:r>
    </w:p>
    <w:p>
      <w:pPr>
        <w:pStyle w:val="7"/>
        <w:tabs>
          <w:tab w:val="right" w:leader="dot" w:pos="8787"/>
        </w:tabs>
      </w:pPr>
      <w:r>
        <w:rPr>
          <w:highlight w:val="white"/>
        </w:rPr>
        <w:t>3.5 备选投标方案</w:t>
      </w:r>
      <w:r>
        <w:tab/>
      </w:r>
      <w:r>
        <w:fldChar w:fldCharType="begin"/>
      </w:r>
      <w:r>
        <w:instrText xml:space="preserve"> PAGEREF _Toc6829 \h </w:instrText>
      </w:r>
      <w:r>
        <w:fldChar w:fldCharType="separate"/>
      </w:r>
      <w:r>
        <w:t>14</w:t>
      </w:r>
      <w:r>
        <w:fldChar w:fldCharType="end"/>
      </w:r>
    </w:p>
    <w:p>
      <w:pPr>
        <w:pStyle w:val="7"/>
        <w:tabs>
          <w:tab w:val="right" w:leader="dot" w:pos="8787"/>
        </w:tabs>
      </w:pPr>
      <w:r>
        <w:rPr>
          <w:highlight w:val="white"/>
        </w:rPr>
        <w:t>3.6 投标文件的编制</w:t>
      </w:r>
      <w:r>
        <w:tab/>
      </w:r>
      <w:r>
        <w:fldChar w:fldCharType="begin"/>
      </w:r>
      <w:r>
        <w:instrText xml:space="preserve"> PAGEREF _Toc7819 \h </w:instrText>
      </w:r>
      <w:r>
        <w:fldChar w:fldCharType="separate"/>
      </w:r>
      <w:r>
        <w:t>14</w:t>
      </w:r>
      <w:r>
        <w:fldChar w:fldCharType="end"/>
      </w:r>
    </w:p>
    <w:p>
      <w:pPr>
        <w:pStyle w:val="11"/>
        <w:tabs>
          <w:tab w:val="right" w:leader="dot" w:pos="8787"/>
        </w:tabs>
      </w:pPr>
      <w:r>
        <w:rPr>
          <w:rFonts w:ascii="Times New Roman" w:hAnsi="Times New Roman"/>
          <w:highlight w:val="white"/>
        </w:rPr>
        <w:t>4 投标</w:t>
      </w:r>
      <w:r>
        <w:tab/>
      </w:r>
      <w:r>
        <w:fldChar w:fldCharType="begin"/>
      </w:r>
      <w:r>
        <w:instrText xml:space="preserve"> PAGEREF _Toc20868 \h </w:instrText>
      </w:r>
      <w:r>
        <w:fldChar w:fldCharType="separate"/>
      </w:r>
      <w:r>
        <w:t>15</w:t>
      </w:r>
      <w:r>
        <w:fldChar w:fldCharType="end"/>
      </w:r>
    </w:p>
    <w:p>
      <w:pPr>
        <w:pStyle w:val="7"/>
        <w:tabs>
          <w:tab w:val="right" w:leader="dot" w:pos="8787"/>
        </w:tabs>
      </w:pPr>
      <w:r>
        <w:rPr>
          <w:highlight w:val="white"/>
        </w:rPr>
        <w:t>4.2 投标文件的递交</w:t>
      </w:r>
      <w:r>
        <w:tab/>
      </w:r>
      <w:r>
        <w:fldChar w:fldCharType="begin"/>
      </w:r>
      <w:r>
        <w:instrText xml:space="preserve"> PAGEREF _Toc16332 \h </w:instrText>
      </w:r>
      <w:r>
        <w:fldChar w:fldCharType="separate"/>
      </w:r>
      <w:r>
        <w:t>15</w:t>
      </w:r>
      <w:r>
        <w:fldChar w:fldCharType="end"/>
      </w:r>
    </w:p>
    <w:p>
      <w:pPr>
        <w:pStyle w:val="7"/>
        <w:tabs>
          <w:tab w:val="right" w:leader="dot" w:pos="8787"/>
        </w:tabs>
      </w:pPr>
      <w:r>
        <w:rPr>
          <w:highlight w:val="white"/>
        </w:rPr>
        <w:t>4.3 投标文件的修改与撤回</w:t>
      </w:r>
      <w:r>
        <w:tab/>
      </w:r>
      <w:r>
        <w:fldChar w:fldCharType="begin"/>
      </w:r>
      <w:r>
        <w:instrText xml:space="preserve"> PAGEREF _Toc22152 \h </w:instrText>
      </w:r>
      <w:r>
        <w:fldChar w:fldCharType="separate"/>
      </w:r>
      <w:r>
        <w:t>15</w:t>
      </w:r>
      <w:r>
        <w:fldChar w:fldCharType="end"/>
      </w:r>
    </w:p>
    <w:p>
      <w:pPr>
        <w:pStyle w:val="11"/>
        <w:tabs>
          <w:tab w:val="right" w:leader="dot" w:pos="8787"/>
        </w:tabs>
      </w:pPr>
      <w:r>
        <w:rPr>
          <w:rFonts w:ascii="Times New Roman" w:hAnsi="Times New Roman"/>
          <w:highlight w:val="white"/>
        </w:rPr>
        <w:t>5 开标</w:t>
      </w:r>
      <w:r>
        <w:tab/>
      </w:r>
      <w:r>
        <w:fldChar w:fldCharType="begin"/>
      </w:r>
      <w:r>
        <w:instrText xml:space="preserve"> PAGEREF _Toc18442 \h </w:instrText>
      </w:r>
      <w:r>
        <w:fldChar w:fldCharType="separate"/>
      </w:r>
      <w:r>
        <w:t>15</w:t>
      </w:r>
      <w:r>
        <w:fldChar w:fldCharType="end"/>
      </w:r>
    </w:p>
    <w:p>
      <w:pPr>
        <w:pStyle w:val="7"/>
        <w:tabs>
          <w:tab w:val="right" w:leader="dot" w:pos="8787"/>
        </w:tabs>
      </w:pPr>
      <w:r>
        <w:rPr>
          <w:highlight w:val="white"/>
        </w:rPr>
        <w:t>5.1 开标时间、地点和投标人参会代表</w:t>
      </w:r>
      <w:r>
        <w:tab/>
      </w:r>
      <w:r>
        <w:fldChar w:fldCharType="begin"/>
      </w:r>
      <w:r>
        <w:instrText xml:space="preserve"> PAGEREF _Toc788 \h </w:instrText>
      </w:r>
      <w:r>
        <w:fldChar w:fldCharType="separate"/>
      </w:r>
      <w:r>
        <w:t>15</w:t>
      </w:r>
      <w:r>
        <w:fldChar w:fldCharType="end"/>
      </w:r>
    </w:p>
    <w:p>
      <w:pPr>
        <w:pStyle w:val="7"/>
        <w:tabs>
          <w:tab w:val="right" w:leader="dot" w:pos="8787"/>
        </w:tabs>
      </w:pPr>
      <w:r>
        <w:rPr>
          <w:highlight w:val="white"/>
        </w:rPr>
        <w:t>5.2 开标程序</w:t>
      </w:r>
      <w:r>
        <w:tab/>
      </w:r>
      <w:r>
        <w:fldChar w:fldCharType="begin"/>
      </w:r>
      <w:r>
        <w:instrText xml:space="preserve"> PAGEREF _Toc20782 \h </w:instrText>
      </w:r>
      <w:r>
        <w:fldChar w:fldCharType="separate"/>
      </w:r>
      <w:r>
        <w:t>15</w:t>
      </w:r>
      <w:r>
        <w:fldChar w:fldCharType="end"/>
      </w:r>
    </w:p>
    <w:p>
      <w:pPr>
        <w:pStyle w:val="7"/>
        <w:tabs>
          <w:tab w:val="right" w:leader="dot" w:pos="8787"/>
        </w:tabs>
        <w:rPr>
          <w:rFonts w:hint="default" w:eastAsia="宋体"/>
          <w:lang w:val="en-US" w:eastAsia="zh-CN"/>
        </w:rPr>
      </w:pPr>
      <w:r>
        <w:rPr>
          <w:highlight w:val="white"/>
        </w:rPr>
        <w:t>5.3 特殊情况处理</w:t>
      </w:r>
      <w:r>
        <w:tab/>
      </w:r>
      <w:r>
        <w:rPr>
          <w:rFonts w:hint="eastAsia"/>
          <w:lang w:val="en-US" w:eastAsia="zh-CN"/>
        </w:rPr>
        <w:t>15</w:t>
      </w:r>
    </w:p>
    <w:p>
      <w:pPr>
        <w:pStyle w:val="11"/>
        <w:tabs>
          <w:tab w:val="right" w:leader="dot" w:pos="8787"/>
        </w:tabs>
      </w:pPr>
      <w:r>
        <w:rPr>
          <w:rFonts w:ascii="Times New Roman" w:hAnsi="Times New Roman"/>
          <w:highlight w:val="white"/>
        </w:rPr>
        <w:t>6 评标</w:t>
      </w:r>
      <w:r>
        <w:tab/>
      </w:r>
      <w:r>
        <w:fldChar w:fldCharType="begin"/>
      </w:r>
      <w:r>
        <w:instrText xml:space="preserve"> PAGEREF _Toc10383 \h </w:instrText>
      </w:r>
      <w:r>
        <w:fldChar w:fldCharType="separate"/>
      </w:r>
      <w:r>
        <w:t>16</w:t>
      </w:r>
      <w:r>
        <w:fldChar w:fldCharType="end"/>
      </w:r>
    </w:p>
    <w:p>
      <w:pPr>
        <w:pStyle w:val="7"/>
        <w:tabs>
          <w:tab w:val="right" w:leader="dot" w:pos="8787"/>
        </w:tabs>
      </w:pPr>
      <w:r>
        <w:rPr>
          <w:highlight w:val="white"/>
        </w:rPr>
        <w:t>6.1 评标委员会</w:t>
      </w:r>
      <w:r>
        <w:tab/>
      </w:r>
      <w:r>
        <w:fldChar w:fldCharType="begin"/>
      </w:r>
      <w:r>
        <w:instrText xml:space="preserve"> PAGEREF _Toc6475 \h </w:instrText>
      </w:r>
      <w:r>
        <w:fldChar w:fldCharType="separate"/>
      </w:r>
      <w:r>
        <w:t>16</w:t>
      </w:r>
      <w:r>
        <w:fldChar w:fldCharType="end"/>
      </w:r>
    </w:p>
    <w:p>
      <w:pPr>
        <w:pStyle w:val="7"/>
        <w:tabs>
          <w:tab w:val="right" w:leader="dot" w:pos="8787"/>
        </w:tabs>
      </w:pPr>
      <w:r>
        <w:rPr>
          <w:highlight w:val="white"/>
        </w:rPr>
        <w:t>6.2</w:t>
      </w:r>
      <w:r>
        <w:rPr>
          <w:rFonts w:hint="eastAsia"/>
          <w:highlight w:val="white"/>
        </w:rPr>
        <w:t xml:space="preserve"> </w:t>
      </w:r>
      <w:r>
        <w:rPr>
          <w:highlight w:val="white"/>
        </w:rPr>
        <w:t>投标文件的澄清</w:t>
      </w:r>
      <w:r>
        <w:tab/>
      </w:r>
      <w:r>
        <w:fldChar w:fldCharType="begin"/>
      </w:r>
      <w:r>
        <w:instrText xml:space="preserve"> PAGEREF _Toc11135 \h </w:instrText>
      </w:r>
      <w:r>
        <w:fldChar w:fldCharType="separate"/>
      </w:r>
      <w:r>
        <w:t>16</w:t>
      </w:r>
      <w:r>
        <w:fldChar w:fldCharType="end"/>
      </w:r>
    </w:p>
    <w:p>
      <w:pPr>
        <w:pStyle w:val="7"/>
        <w:tabs>
          <w:tab w:val="right" w:leader="dot" w:pos="8787"/>
        </w:tabs>
      </w:pPr>
      <w:r>
        <w:rPr>
          <w:highlight w:val="white"/>
        </w:rPr>
        <w:t>6.3</w:t>
      </w:r>
      <w:r>
        <w:rPr>
          <w:rFonts w:hint="eastAsia"/>
          <w:highlight w:val="white"/>
        </w:rPr>
        <w:t xml:space="preserve"> </w:t>
      </w:r>
      <w:r>
        <w:rPr>
          <w:highlight w:val="white"/>
        </w:rPr>
        <w:t>投标文件的审查</w:t>
      </w:r>
      <w:r>
        <w:tab/>
      </w:r>
      <w:r>
        <w:fldChar w:fldCharType="begin"/>
      </w:r>
      <w:r>
        <w:instrText xml:space="preserve"> PAGEREF _Toc27869 \h </w:instrText>
      </w:r>
      <w:r>
        <w:fldChar w:fldCharType="separate"/>
      </w:r>
      <w:r>
        <w:t>17</w:t>
      </w:r>
      <w:r>
        <w:fldChar w:fldCharType="end"/>
      </w:r>
    </w:p>
    <w:p>
      <w:pPr>
        <w:pStyle w:val="7"/>
        <w:tabs>
          <w:tab w:val="right" w:leader="dot" w:pos="8787"/>
        </w:tabs>
      </w:pPr>
      <w:r>
        <w:rPr>
          <w:highlight w:val="white"/>
        </w:rPr>
        <w:t>6.</w:t>
      </w:r>
      <w:r>
        <w:rPr>
          <w:rFonts w:hint="eastAsia"/>
          <w:highlight w:val="white"/>
        </w:rPr>
        <w:t>4</w:t>
      </w:r>
      <w:r>
        <w:rPr>
          <w:highlight w:val="white"/>
        </w:rPr>
        <w:t xml:space="preserve"> 评标原则</w:t>
      </w:r>
      <w:r>
        <w:tab/>
      </w:r>
      <w:r>
        <w:fldChar w:fldCharType="begin"/>
      </w:r>
      <w:r>
        <w:instrText xml:space="preserve"> PAGEREF _Toc4421 \h </w:instrText>
      </w:r>
      <w:r>
        <w:fldChar w:fldCharType="separate"/>
      </w:r>
      <w:r>
        <w:t>18</w:t>
      </w:r>
      <w:r>
        <w:fldChar w:fldCharType="end"/>
      </w:r>
    </w:p>
    <w:p>
      <w:pPr>
        <w:pStyle w:val="11"/>
        <w:tabs>
          <w:tab w:val="right" w:leader="dot" w:pos="8787"/>
        </w:tabs>
      </w:pPr>
      <w:r>
        <w:rPr>
          <w:highlight w:val="white"/>
        </w:rPr>
        <w:t>7.</w:t>
      </w:r>
      <w:r>
        <w:rPr>
          <w:rFonts w:hint="eastAsia"/>
          <w:highlight w:val="white"/>
        </w:rPr>
        <w:t xml:space="preserve"> 定标</w:t>
      </w:r>
      <w:r>
        <w:tab/>
      </w:r>
      <w:r>
        <w:fldChar w:fldCharType="begin"/>
      </w:r>
      <w:r>
        <w:instrText xml:space="preserve"> PAGEREF _Toc14641 \h </w:instrText>
      </w:r>
      <w:r>
        <w:fldChar w:fldCharType="separate"/>
      </w:r>
      <w:r>
        <w:t>18</w:t>
      </w:r>
      <w:r>
        <w:fldChar w:fldCharType="end"/>
      </w:r>
    </w:p>
    <w:p>
      <w:pPr>
        <w:pStyle w:val="11"/>
        <w:tabs>
          <w:tab w:val="right" w:leader="dot" w:pos="8787"/>
        </w:tabs>
      </w:pPr>
      <w:r>
        <w:rPr>
          <w:rFonts w:hint="eastAsia" w:ascii="Times New Roman" w:hAnsi="Times New Roman"/>
          <w:highlight w:val="white"/>
        </w:rPr>
        <w:t>8</w:t>
      </w:r>
      <w:r>
        <w:rPr>
          <w:rFonts w:ascii="Times New Roman" w:hAnsi="Times New Roman"/>
          <w:highlight w:val="white"/>
        </w:rPr>
        <w:t>合同授予</w:t>
      </w:r>
      <w:r>
        <w:tab/>
      </w:r>
      <w:r>
        <w:fldChar w:fldCharType="begin"/>
      </w:r>
      <w:r>
        <w:instrText xml:space="preserve"> PAGEREF _Toc22001 \h </w:instrText>
      </w:r>
      <w:r>
        <w:fldChar w:fldCharType="separate"/>
      </w:r>
      <w:r>
        <w:t>19</w:t>
      </w:r>
      <w:r>
        <w:fldChar w:fldCharType="end"/>
      </w:r>
    </w:p>
    <w:p>
      <w:pPr>
        <w:pStyle w:val="7"/>
        <w:tabs>
          <w:tab w:val="right" w:leader="dot" w:pos="8787"/>
        </w:tabs>
      </w:pPr>
      <w:r>
        <w:rPr>
          <w:rFonts w:hint="eastAsia"/>
          <w:highlight w:val="white"/>
        </w:rPr>
        <w:t>8</w:t>
      </w:r>
      <w:r>
        <w:rPr>
          <w:highlight w:val="white"/>
        </w:rPr>
        <w:t>.1 定标方式</w:t>
      </w:r>
      <w:r>
        <w:tab/>
      </w:r>
      <w:r>
        <w:fldChar w:fldCharType="begin"/>
      </w:r>
      <w:r>
        <w:instrText xml:space="preserve"> PAGEREF _Toc1624 \h </w:instrText>
      </w:r>
      <w:r>
        <w:fldChar w:fldCharType="separate"/>
      </w:r>
      <w:r>
        <w:t>19</w:t>
      </w:r>
      <w:r>
        <w:fldChar w:fldCharType="end"/>
      </w:r>
    </w:p>
    <w:p>
      <w:pPr>
        <w:pStyle w:val="7"/>
        <w:tabs>
          <w:tab w:val="right" w:leader="dot" w:pos="8787"/>
        </w:tabs>
      </w:pPr>
      <w:r>
        <w:rPr>
          <w:rFonts w:hint="eastAsia"/>
          <w:highlight w:val="white"/>
        </w:rPr>
        <w:t>8</w:t>
      </w:r>
      <w:r>
        <w:rPr>
          <w:highlight w:val="white"/>
        </w:rPr>
        <w:t>.2 中标通知及中标结果公告</w:t>
      </w:r>
      <w:r>
        <w:tab/>
      </w:r>
      <w:r>
        <w:fldChar w:fldCharType="begin"/>
      </w:r>
      <w:r>
        <w:instrText xml:space="preserve"> PAGEREF _Toc21666 \h </w:instrText>
      </w:r>
      <w:r>
        <w:fldChar w:fldCharType="separate"/>
      </w:r>
      <w:r>
        <w:t>19</w:t>
      </w:r>
      <w:r>
        <w:fldChar w:fldCharType="end"/>
      </w:r>
    </w:p>
    <w:p>
      <w:pPr>
        <w:pStyle w:val="7"/>
        <w:tabs>
          <w:tab w:val="right" w:leader="dot" w:pos="8787"/>
        </w:tabs>
      </w:pPr>
      <w:r>
        <w:rPr>
          <w:rFonts w:hint="eastAsia"/>
          <w:highlight w:val="white"/>
        </w:rPr>
        <w:t>8</w:t>
      </w:r>
      <w:r>
        <w:rPr>
          <w:highlight w:val="white"/>
        </w:rPr>
        <w:t>.3</w:t>
      </w:r>
      <w:r>
        <w:rPr>
          <w:rFonts w:hint="eastAsia"/>
          <w:highlight w:val="white"/>
        </w:rPr>
        <w:t>履约担保</w:t>
      </w:r>
      <w:r>
        <w:tab/>
      </w:r>
      <w:r>
        <w:fldChar w:fldCharType="begin"/>
      </w:r>
      <w:r>
        <w:instrText xml:space="preserve"> PAGEREF _Toc12538 \h </w:instrText>
      </w:r>
      <w:r>
        <w:fldChar w:fldCharType="separate"/>
      </w:r>
      <w:r>
        <w:t>19</w:t>
      </w:r>
      <w:r>
        <w:fldChar w:fldCharType="end"/>
      </w:r>
    </w:p>
    <w:p>
      <w:pPr>
        <w:pStyle w:val="7"/>
        <w:tabs>
          <w:tab w:val="right" w:leader="dot" w:pos="8787"/>
        </w:tabs>
      </w:pPr>
      <w:r>
        <w:rPr>
          <w:rFonts w:hint="eastAsia"/>
          <w:highlight w:val="white"/>
        </w:rPr>
        <w:t>8</w:t>
      </w:r>
      <w:r>
        <w:rPr>
          <w:highlight w:val="white"/>
        </w:rPr>
        <w:t>.</w:t>
      </w:r>
      <w:r>
        <w:rPr>
          <w:rFonts w:hint="eastAsia"/>
          <w:highlight w:val="white"/>
        </w:rPr>
        <w:t>4签订合同</w:t>
      </w:r>
      <w:r>
        <w:tab/>
      </w:r>
      <w:r>
        <w:fldChar w:fldCharType="begin"/>
      </w:r>
      <w:r>
        <w:instrText xml:space="preserve"> PAGEREF _Toc21819 \h </w:instrText>
      </w:r>
      <w:r>
        <w:fldChar w:fldCharType="separate"/>
      </w:r>
      <w:r>
        <w:t>20</w:t>
      </w:r>
      <w:r>
        <w:fldChar w:fldCharType="end"/>
      </w:r>
    </w:p>
    <w:p>
      <w:pPr>
        <w:pStyle w:val="11"/>
        <w:tabs>
          <w:tab w:val="right" w:leader="dot" w:pos="8787"/>
        </w:tabs>
      </w:pPr>
      <w:r>
        <w:rPr>
          <w:rFonts w:ascii="Times New Roman" w:hAnsi="Times New Roman"/>
          <w:highlight w:val="white"/>
        </w:rPr>
        <w:t xml:space="preserve">9. </w:t>
      </w:r>
      <w:r>
        <w:rPr>
          <w:rFonts w:hint="eastAsia" w:ascii="Times New Roman" w:hAnsi="Times New Roman"/>
          <w:highlight w:val="white"/>
        </w:rPr>
        <w:t>重新招标和不再招标</w:t>
      </w:r>
      <w:r>
        <w:tab/>
      </w:r>
      <w:r>
        <w:fldChar w:fldCharType="begin"/>
      </w:r>
      <w:r>
        <w:instrText xml:space="preserve"> PAGEREF _Toc20424 \h </w:instrText>
      </w:r>
      <w:r>
        <w:fldChar w:fldCharType="separate"/>
      </w:r>
      <w:r>
        <w:t>20</w:t>
      </w:r>
      <w:r>
        <w:fldChar w:fldCharType="end"/>
      </w:r>
    </w:p>
    <w:p>
      <w:pPr>
        <w:pStyle w:val="7"/>
        <w:tabs>
          <w:tab w:val="right" w:leader="dot" w:pos="8787"/>
        </w:tabs>
      </w:pPr>
      <w:r>
        <w:rPr>
          <w:rFonts w:hint="eastAsia"/>
          <w:highlight w:val="white"/>
        </w:rPr>
        <w:t>9.1 重新招标</w:t>
      </w:r>
      <w:r>
        <w:tab/>
      </w:r>
      <w:r>
        <w:fldChar w:fldCharType="begin"/>
      </w:r>
      <w:r>
        <w:instrText xml:space="preserve"> PAGEREF _Toc12451 \h </w:instrText>
      </w:r>
      <w:r>
        <w:fldChar w:fldCharType="separate"/>
      </w:r>
      <w:r>
        <w:t>20</w:t>
      </w:r>
      <w:r>
        <w:fldChar w:fldCharType="end"/>
      </w:r>
    </w:p>
    <w:p>
      <w:pPr>
        <w:pStyle w:val="7"/>
        <w:tabs>
          <w:tab w:val="right" w:leader="dot" w:pos="8787"/>
        </w:tabs>
      </w:pPr>
      <w:r>
        <w:rPr>
          <w:rFonts w:hint="eastAsia"/>
          <w:highlight w:val="white"/>
        </w:rPr>
        <w:t>9.2 不再招标</w:t>
      </w:r>
      <w:r>
        <w:tab/>
      </w:r>
      <w:r>
        <w:fldChar w:fldCharType="begin"/>
      </w:r>
      <w:r>
        <w:instrText xml:space="preserve"> PAGEREF _Toc18745 \h </w:instrText>
      </w:r>
      <w:r>
        <w:fldChar w:fldCharType="separate"/>
      </w:r>
      <w:r>
        <w:t>20</w:t>
      </w:r>
      <w:r>
        <w:fldChar w:fldCharType="end"/>
      </w:r>
    </w:p>
    <w:p>
      <w:pPr>
        <w:pStyle w:val="11"/>
        <w:tabs>
          <w:tab w:val="right" w:leader="dot" w:pos="8787"/>
        </w:tabs>
      </w:pPr>
      <w:r>
        <w:rPr>
          <w:rFonts w:ascii="Times New Roman" w:hAnsi="Times New Roman"/>
          <w:highlight w:val="white"/>
        </w:rPr>
        <w:t xml:space="preserve">10. </w:t>
      </w:r>
      <w:r>
        <w:rPr>
          <w:rFonts w:hint="eastAsia" w:ascii="Times New Roman" w:hAnsi="Times New Roman"/>
          <w:highlight w:val="white"/>
        </w:rPr>
        <w:t>标后监管</w:t>
      </w:r>
      <w:r>
        <w:tab/>
      </w:r>
      <w:r>
        <w:fldChar w:fldCharType="begin"/>
      </w:r>
      <w:r>
        <w:instrText xml:space="preserve"> PAGEREF _Toc2039 \h </w:instrText>
      </w:r>
      <w:r>
        <w:fldChar w:fldCharType="separate"/>
      </w:r>
      <w:r>
        <w:t>21</w:t>
      </w:r>
      <w:r>
        <w:fldChar w:fldCharType="end"/>
      </w:r>
    </w:p>
    <w:p>
      <w:pPr>
        <w:pStyle w:val="7"/>
        <w:tabs>
          <w:tab w:val="right" w:leader="dot" w:pos="8787"/>
        </w:tabs>
      </w:pPr>
      <w:r>
        <w:rPr>
          <w:rFonts w:hint="eastAsia"/>
          <w:highlight w:val="white"/>
        </w:rPr>
        <w:t>10.1中标结果进工地</w:t>
      </w:r>
      <w:r>
        <w:tab/>
      </w:r>
      <w:r>
        <w:fldChar w:fldCharType="begin"/>
      </w:r>
      <w:r>
        <w:instrText xml:space="preserve"> PAGEREF _Toc17520 \h </w:instrText>
      </w:r>
      <w:r>
        <w:fldChar w:fldCharType="separate"/>
      </w:r>
      <w:r>
        <w:t>21</w:t>
      </w:r>
      <w:r>
        <w:fldChar w:fldCharType="end"/>
      </w:r>
    </w:p>
    <w:p>
      <w:pPr>
        <w:pStyle w:val="7"/>
        <w:tabs>
          <w:tab w:val="right" w:leader="dot" w:pos="8787"/>
        </w:tabs>
      </w:pPr>
      <w:r>
        <w:rPr>
          <w:rFonts w:hint="eastAsia"/>
          <w:highlight w:val="white"/>
        </w:rPr>
        <w:t>10.2强化现场管理</w:t>
      </w:r>
      <w:r>
        <w:tab/>
      </w:r>
      <w:r>
        <w:fldChar w:fldCharType="begin"/>
      </w:r>
      <w:r>
        <w:instrText xml:space="preserve"> PAGEREF _Toc11865 \h </w:instrText>
      </w:r>
      <w:r>
        <w:fldChar w:fldCharType="separate"/>
      </w:r>
      <w:r>
        <w:t>21</w:t>
      </w:r>
      <w:r>
        <w:fldChar w:fldCharType="end"/>
      </w:r>
    </w:p>
    <w:p>
      <w:pPr>
        <w:pStyle w:val="11"/>
        <w:tabs>
          <w:tab w:val="right" w:leader="dot" w:pos="8787"/>
        </w:tabs>
      </w:pPr>
      <w:r>
        <w:rPr>
          <w:rFonts w:ascii="Times New Roman" w:hAnsi="Times New Roman"/>
          <w:highlight w:val="white"/>
        </w:rPr>
        <w:t>11.</w:t>
      </w:r>
      <w:r>
        <w:rPr>
          <w:rFonts w:hint="eastAsia" w:ascii="Times New Roman" w:hAnsi="Times New Roman"/>
          <w:highlight w:val="white"/>
        </w:rPr>
        <w:t xml:space="preserve"> 纪律和监督</w:t>
      </w:r>
      <w:r>
        <w:tab/>
      </w:r>
      <w:r>
        <w:fldChar w:fldCharType="begin"/>
      </w:r>
      <w:r>
        <w:instrText xml:space="preserve"> PAGEREF _Toc13904 \h </w:instrText>
      </w:r>
      <w:r>
        <w:fldChar w:fldCharType="separate"/>
      </w:r>
      <w:r>
        <w:t>21</w:t>
      </w:r>
      <w:r>
        <w:fldChar w:fldCharType="end"/>
      </w:r>
    </w:p>
    <w:p>
      <w:pPr>
        <w:pStyle w:val="7"/>
        <w:tabs>
          <w:tab w:val="right" w:leader="dot" w:pos="8787"/>
        </w:tabs>
      </w:pPr>
      <w:r>
        <w:rPr>
          <w:rFonts w:hint="eastAsia"/>
          <w:highlight w:val="white"/>
        </w:rPr>
        <w:t>11.1 对招标人的纪律要求</w:t>
      </w:r>
      <w:r>
        <w:tab/>
      </w:r>
      <w:r>
        <w:fldChar w:fldCharType="begin"/>
      </w:r>
      <w:r>
        <w:instrText xml:space="preserve"> PAGEREF _Toc8776 \h </w:instrText>
      </w:r>
      <w:r>
        <w:fldChar w:fldCharType="separate"/>
      </w:r>
      <w:r>
        <w:t>21</w:t>
      </w:r>
      <w:r>
        <w:fldChar w:fldCharType="end"/>
      </w:r>
    </w:p>
    <w:p>
      <w:pPr>
        <w:pStyle w:val="7"/>
        <w:tabs>
          <w:tab w:val="right" w:leader="dot" w:pos="8787"/>
        </w:tabs>
      </w:pPr>
      <w:r>
        <w:rPr>
          <w:rFonts w:hint="eastAsia" w:ascii="黑体"/>
          <w:szCs w:val="24"/>
          <w:highlight w:val="white"/>
        </w:rPr>
        <w:t>11.2 对投标人的纪律要求</w:t>
      </w:r>
      <w:r>
        <w:tab/>
      </w:r>
      <w:r>
        <w:fldChar w:fldCharType="begin"/>
      </w:r>
      <w:r>
        <w:instrText xml:space="preserve"> PAGEREF _Toc5108 \h </w:instrText>
      </w:r>
      <w:r>
        <w:fldChar w:fldCharType="separate"/>
      </w:r>
      <w:r>
        <w:t>22</w:t>
      </w:r>
      <w:r>
        <w:fldChar w:fldCharType="end"/>
      </w:r>
    </w:p>
    <w:p>
      <w:pPr>
        <w:pStyle w:val="7"/>
        <w:tabs>
          <w:tab w:val="right" w:leader="dot" w:pos="8787"/>
        </w:tabs>
      </w:pPr>
      <w:r>
        <w:rPr>
          <w:rFonts w:hint="eastAsia" w:ascii="黑体"/>
          <w:szCs w:val="24"/>
          <w:highlight w:val="white"/>
        </w:rPr>
        <w:t>11.3 对评标委员会成员的纪律要求</w:t>
      </w:r>
      <w:r>
        <w:tab/>
      </w:r>
      <w:r>
        <w:fldChar w:fldCharType="begin"/>
      </w:r>
      <w:r>
        <w:instrText xml:space="preserve"> PAGEREF _Toc6820 \h </w:instrText>
      </w:r>
      <w:r>
        <w:fldChar w:fldCharType="separate"/>
      </w:r>
      <w:r>
        <w:t>23</w:t>
      </w:r>
      <w:r>
        <w:fldChar w:fldCharType="end"/>
      </w:r>
    </w:p>
    <w:p>
      <w:pPr>
        <w:pStyle w:val="7"/>
        <w:tabs>
          <w:tab w:val="right" w:leader="dot" w:pos="8787"/>
        </w:tabs>
      </w:pPr>
      <w:r>
        <w:rPr>
          <w:rFonts w:hint="eastAsia" w:ascii="黑体"/>
          <w:szCs w:val="24"/>
          <w:highlight w:val="white"/>
        </w:rPr>
        <w:t>11.4 对监管人员的纪律要求</w:t>
      </w:r>
      <w:r>
        <w:tab/>
      </w:r>
      <w:r>
        <w:fldChar w:fldCharType="begin"/>
      </w:r>
      <w:r>
        <w:instrText xml:space="preserve"> PAGEREF _Toc15915 \h </w:instrText>
      </w:r>
      <w:r>
        <w:fldChar w:fldCharType="separate"/>
      </w:r>
      <w:r>
        <w:t>23</w:t>
      </w:r>
      <w:r>
        <w:fldChar w:fldCharType="end"/>
      </w:r>
    </w:p>
    <w:p>
      <w:pPr>
        <w:pStyle w:val="7"/>
        <w:tabs>
          <w:tab w:val="right" w:leader="dot" w:pos="8787"/>
        </w:tabs>
      </w:pPr>
      <w:r>
        <w:rPr>
          <w:rFonts w:hint="eastAsia" w:ascii="黑体"/>
          <w:szCs w:val="24"/>
          <w:highlight w:val="white"/>
        </w:rPr>
        <w:t>11.5 异议与投诉</w:t>
      </w:r>
      <w:r>
        <w:tab/>
      </w:r>
      <w:r>
        <w:fldChar w:fldCharType="begin"/>
      </w:r>
      <w:r>
        <w:instrText xml:space="preserve"> PAGEREF _Toc3265 \h </w:instrText>
      </w:r>
      <w:r>
        <w:fldChar w:fldCharType="separate"/>
      </w:r>
      <w:r>
        <w:t>23</w:t>
      </w:r>
      <w:r>
        <w:fldChar w:fldCharType="end"/>
      </w:r>
    </w:p>
    <w:p>
      <w:pPr>
        <w:pStyle w:val="11"/>
        <w:tabs>
          <w:tab w:val="right" w:leader="dot" w:pos="8787"/>
        </w:tabs>
      </w:pPr>
      <w:r>
        <w:rPr>
          <w:rFonts w:ascii="Times New Roman" w:hAnsi="Times New Roman"/>
          <w:highlight w:val="white"/>
        </w:rPr>
        <w:t xml:space="preserve">12. </w:t>
      </w:r>
      <w:r>
        <w:rPr>
          <w:rFonts w:hint="eastAsia" w:ascii="Times New Roman" w:hAnsi="Times New Roman"/>
          <w:highlight w:val="white"/>
        </w:rPr>
        <w:t>需要补充的其他内容</w:t>
      </w:r>
      <w:r>
        <w:tab/>
      </w:r>
      <w:r>
        <w:fldChar w:fldCharType="begin"/>
      </w:r>
      <w:r>
        <w:instrText xml:space="preserve"> PAGEREF _Toc5552 \h </w:instrText>
      </w:r>
      <w:r>
        <w:fldChar w:fldCharType="separate"/>
      </w:r>
      <w:r>
        <w:t>23</w:t>
      </w:r>
      <w:r>
        <w:fldChar w:fldCharType="end"/>
      </w:r>
    </w:p>
    <w:p>
      <w:pPr>
        <w:pStyle w:val="10"/>
        <w:tabs>
          <w:tab w:val="right" w:leader="dot" w:pos="8787"/>
        </w:tabs>
      </w:pPr>
      <w:r>
        <w:rPr>
          <w:rFonts w:hint="eastAsia"/>
          <w:highlight w:val="white"/>
        </w:rPr>
        <w:t>第三章</w:t>
      </w:r>
      <w:r>
        <w:rPr>
          <w:highlight w:val="white"/>
        </w:rPr>
        <w:t xml:space="preserve"> </w:t>
      </w:r>
      <w:r>
        <w:rPr>
          <w:rFonts w:hint="eastAsia"/>
          <w:highlight w:val="white"/>
        </w:rPr>
        <w:t>评标办法（合理低价法）</w:t>
      </w:r>
      <w:r>
        <w:tab/>
      </w:r>
      <w:r>
        <w:fldChar w:fldCharType="begin"/>
      </w:r>
      <w:r>
        <w:instrText xml:space="preserve"> PAGEREF _Toc31807 \h </w:instrText>
      </w:r>
      <w:r>
        <w:fldChar w:fldCharType="separate"/>
      </w:r>
      <w:r>
        <w:t>24</w:t>
      </w:r>
      <w:r>
        <w:fldChar w:fldCharType="end"/>
      </w:r>
    </w:p>
    <w:p>
      <w:pPr>
        <w:pStyle w:val="7"/>
        <w:tabs>
          <w:tab w:val="right" w:leader="dot" w:pos="8787"/>
        </w:tabs>
      </w:pPr>
      <w:r>
        <w:rPr>
          <w:rFonts w:hint="eastAsia" w:ascii="黑体" w:hAnsi="黑体" w:eastAsia="黑体"/>
          <w:szCs w:val="28"/>
          <w:highlight w:val="white"/>
        </w:rPr>
        <w:t>1.评标方法</w:t>
      </w:r>
      <w:r>
        <w:tab/>
      </w:r>
      <w:r>
        <w:fldChar w:fldCharType="begin"/>
      </w:r>
      <w:r>
        <w:instrText xml:space="preserve"> PAGEREF _Toc26158 \h </w:instrText>
      </w:r>
      <w:r>
        <w:fldChar w:fldCharType="separate"/>
      </w:r>
      <w:r>
        <w:t>24</w:t>
      </w:r>
      <w:r>
        <w:fldChar w:fldCharType="end"/>
      </w:r>
    </w:p>
    <w:p>
      <w:pPr>
        <w:pStyle w:val="7"/>
        <w:tabs>
          <w:tab w:val="right" w:leader="dot" w:pos="8787"/>
        </w:tabs>
      </w:pPr>
      <w:r>
        <w:rPr>
          <w:rFonts w:hint="eastAsia" w:ascii="黑体" w:hAnsi="黑体" w:eastAsia="黑体"/>
          <w:szCs w:val="28"/>
          <w:highlight w:val="white"/>
        </w:rPr>
        <w:t>2.评审标准</w:t>
      </w:r>
      <w:r>
        <w:tab/>
      </w:r>
      <w:r>
        <w:fldChar w:fldCharType="begin"/>
      </w:r>
      <w:r>
        <w:instrText xml:space="preserve"> PAGEREF _Toc10882 \h </w:instrText>
      </w:r>
      <w:r>
        <w:fldChar w:fldCharType="separate"/>
      </w:r>
      <w:r>
        <w:t>24</w:t>
      </w:r>
      <w:r>
        <w:fldChar w:fldCharType="end"/>
      </w:r>
    </w:p>
    <w:p>
      <w:pPr>
        <w:pStyle w:val="10"/>
        <w:tabs>
          <w:tab w:val="right" w:leader="dot" w:pos="8787"/>
        </w:tabs>
      </w:pPr>
      <w:r>
        <w:rPr>
          <w:highlight w:val="white"/>
        </w:rPr>
        <w:t>第四章  合同条款及格式</w:t>
      </w:r>
      <w:r>
        <w:tab/>
      </w:r>
      <w:r>
        <w:fldChar w:fldCharType="begin"/>
      </w:r>
      <w:r>
        <w:instrText xml:space="preserve"> PAGEREF _Toc1614 \h </w:instrText>
      </w:r>
      <w:r>
        <w:fldChar w:fldCharType="separate"/>
      </w:r>
      <w:r>
        <w:t>28</w:t>
      </w:r>
      <w:r>
        <w:fldChar w:fldCharType="end"/>
      </w:r>
    </w:p>
    <w:p>
      <w:pPr>
        <w:pStyle w:val="11"/>
        <w:tabs>
          <w:tab w:val="right" w:leader="dot" w:pos="8787"/>
        </w:tabs>
      </w:pPr>
      <w:r>
        <w:rPr>
          <w:rFonts w:hint="eastAsia" w:ascii="宋体" w:hAnsi="宋体" w:eastAsia="宋体" w:cs="宋体"/>
          <w:bCs/>
          <w:kern w:val="2"/>
          <w:szCs w:val="44"/>
          <w:highlight w:val="white"/>
        </w:rPr>
        <w:t>工程建设项目廉政合同</w:t>
      </w:r>
      <w:r>
        <w:tab/>
      </w:r>
      <w:r>
        <w:fldChar w:fldCharType="begin"/>
      </w:r>
      <w:r>
        <w:instrText xml:space="preserve"> PAGEREF _Toc11004 \h </w:instrText>
      </w:r>
      <w:r>
        <w:fldChar w:fldCharType="separate"/>
      </w:r>
      <w:r>
        <w:t>69</w:t>
      </w:r>
      <w:r>
        <w:fldChar w:fldCharType="end"/>
      </w:r>
    </w:p>
    <w:p>
      <w:pPr>
        <w:pStyle w:val="10"/>
        <w:tabs>
          <w:tab w:val="right" w:leader="dot" w:pos="8787"/>
        </w:tabs>
      </w:pPr>
      <w:r>
        <w:rPr>
          <w:highlight w:val="white"/>
        </w:rPr>
        <w:t>第五章 工程量清单</w:t>
      </w:r>
      <w:r>
        <w:tab/>
      </w:r>
      <w:r>
        <w:fldChar w:fldCharType="begin"/>
      </w:r>
      <w:r>
        <w:instrText xml:space="preserve"> PAGEREF _Toc15723 \h </w:instrText>
      </w:r>
      <w:r>
        <w:fldChar w:fldCharType="separate"/>
      </w:r>
      <w:r>
        <w:t>71</w:t>
      </w:r>
      <w:r>
        <w:fldChar w:fldCharType="end"/>
      </w:r>
    </w:p>
    <w:p>
      <w:pPr>
        <w:pStyle w:val="7"/>
        <w:tabs>
          <w:tab w:val="right" w:leader="dot" w:pos="8787"/>
        </w:tabs>
      </w:pPr>
      <w:r>
        <w:rPr>
          <w:kern w:val="0"/>
          <w:highlight w:val="white"/>
        </w:rPr>
        <w:t>1．工程量清单编制说明</w:t>
      </w:r>
      <w:r>
        <w:tab/>
      </w:r>
      <w:r>
        <w:fldChar w:fldCharType="begin"/>
      </w:r>
      <w:r>
        <w:instrText xml:space="preserve"> PAGEREF _Toc19108 \h </w:instrText>
      </w:r>
      <w:r>
        <w:fldChar w:fldCharType="separate"/>
      </w:r>
      <w:r>
        <w:t>71</w:t>
      </w:r>
      <w:r>
        <w:fldChar w:fldCharType="end"/>
      </w:r>
    </w:p>
    <w:p>
      <w:pPr>
        <w:pStyle w:val="7"/>
        <w:tabs>
          <w:tab w:val="right" w:leader="dot" w:pos="8787"/>
        </w:tabs>
      </w:pPr>
      <w:r>
        <w:rPr>
          <w:kern w:val="0"/>
          <w:highlight w:val="white"/>
        </w:rPr>
        <w:t>2．投标报价编制要求</w:t>
      </w:r>
      <w:r>
        <w:tab/>
      </w:r>
      <w:r>
        <w:fldChar w:fldCharType="begin"/>
      </w:r>
      <w:r>
        <w:instrText xml:space="preserve"> PAGEREF _Toc17304 \h </w:instrText>
      </w:r>
      <w:r>
        <w:fldChar w:fldCharType="separate"/>
      </w:r>
      <w:r>
        <w:t>71</w:t>
      </w:r>
      <w:r>
        <w:fldChar w:fldCharType="end"/>
      </w:r>
    </w:p>
    <w:p>
      <w:pPr>
        <w:pStyle w:val="7"/>
        <w:tabs>
          <w:tab w:val="right" w:leader="dot" w:pos="8787"/>
        </w:tabs>
      </w:pPr>
      <w:r>
        <w:rPr>
          <w:kern w:val="0"/>
          <w:highlight w:val="white"/>
        </w:rPr>
        <w:t>3．其他说明</w:t>
      </w:r>
      <w:r>
        <w:tab/>
      </w:r>
      <w:r>
        <w:fldChar w:fldCharType="begin"/>
      </w:r>
      <w:r>
        <w:instrText xml:space="preserve"> PAGEREF _Toc27729 \h </w:instrText>
      </w:r>
      <w:r>
        <w:fldChar w:fldCharType="separate"/>
      </w:r>
      <w:r>
        <w:t>73</w:t>
      </w:r>
      <w:r>
        <w:fldChar w:fldCharType="end"/>
      </w:r>
    </w:p>
    <w:p>
      <w:pPr>
        <w:pStyle w:val="10"/>
        <w:tabs>
          <w:tab w:val="right" w:leader="dot" w:pos="8787"/>
        </w:tabs>
      </w:pPr>
      <w:r>
        <w:rPr>
          <w:highlight w:val="white"/>
        </w:rPr>
        <w:t>3.2工程量差异调整</w:t>
      </w:r>
      <w:r>
        <w:tab/>
      </w:r>
      <w:r>
        <w:fldChar w:fldCharType="begin"/>
      </w:r>
      <w:r>
        <w:instrText xml:space="preserve"> PAGEREF _Toc5913 \h </w:instrText>
      </w:r>
      <w:r>
        <w:fldChar w:fldCharType="separate"/>
      </w:r>
      <w:r>
        <w:t>73</w:t>
      </w:r>
      <w:r>
        <w:fldChar w:fldCharType="end"/>
      </w:r>
    </w:p>
    <w:p>
      <w:pPr>
        <w:pStyle w:val="10"/>
        <w:tabs>
          <w:tab w:val="right" w:leader="dot" w:pos="8787"/>
        </w:tabs>
      </w:pPr>
      <w:r>
        <w:rPr>
          <w:highlight w:val="white"/>
        </w:rPr>
        <w:t>第六章 图  纸</w:t>
      </w:r>
      <w:r>
        <w:tab/>
      </w:r>
      <w:r>
        <w:fldChar w:fldCharType="begin"/>
      </w:r>
      <w:r>
        <w:instrText xml:space="preserve"> PAGEREF _Toc18648 \h </w:instrText>
      </w:r>
      <w:r>
        <w:fldChar w:fldCharType="separate"/>
      </w:r>
      <w:r>
        <w:t>75</w:t>
      </w:r>
      <w:r>
        <w:fldChar w:fldCharType="end"/>
      </w:r>
    </w:p>
    <w:p>
      <w:pPr>
        <w:pStyle w:val="10"/>
        <w:tabs>
          <w:tab w:val="right" w:leader="dot" w:pos="8787"/>
        </w:tabs>
      </w:pPr>
      <w:r>
        <w:rPr>
          <w:rFonts w:ascii="Times New Roman" w:hAnsi="Times New Roman" w:eastAsia="黑体" w:cs="Times New Roman"/>
          <w:bCs/>
          <w:kern w:val="44"/>
          <w:szCs w:val="44"/>
          <w:highlight w:val="white"/>
        </w:rPr>
        <w:t>第七章 技术标准和要求</w:t>
      </w:r>
      <w:r>
        <w:tab/>
      </w:r>
      <w:r>
        <w:fldChar w:fldCharType="begin"/>
      </w:r>
      <w:r>
        <w:instrText xml:space="preserve"> PAGEREF _Toc31370 \h </w:instrText>
      </w:r>
      <w:r>
        <w:fldChar w:fldCharType="separate"/>
      </w:r>
      <w:r>
        <w:t>76</w:t>
      </w:r>
      <w:r>
        <w:fldChar w:fldCharType="end"/>
      </w:r>
    </w:p>
    <w:p>
      <w:pPr>
        <w:pStyle w:val="10"/>
        <w:tabs>
          <w:tab w:val="right" w:leader="dot" w:pos="8787"/>
        </w:tabs>
      </w:pPr>
      <w:r>
        <w:rPr>
          <w:highlight w:val="white"/>
        </w:rPr>
        <w:t>第八章 投标文件格式</w:t>
      </w:r>
      <w:r>
        <w:tab/>
      </w:r>
      <w:r>
        <w:fldChar w:fldCharType="begin"/>
      </w:r>
      <w:r>
        <w:instrText xml:space="preserve"> PAGEREF _Toc14612 \h </w:instrText>
      </w:r>
      <w:r>
        <w:fldChar w:fldCharType="separate"/>
      </w:r>
      <w:r>
        <w:t>77</w:t>
      </w:r>
      <w:r>
        <w:fldChar w:fldCharType="end"/>
      </w:r>
    </w:p>
    <w:p>
      <w:pPr>
        <w:pStyle w:val="11"/>
        <w:tabs>
          <w:tab w:val="right" w:leader="dot" w:pos="8787"/>
        </w:tabs>
      </w:pPr>
      <w:r>
        <w:rPr>
          <w:highlight w:val="white"/>
        </w:rPr>
        <w:t>封面</w:t>
      </w:r>
      <w:r>
        <w:tab/>
      </w:r>
      <w:r>
        <w:fldChar w:fldCharType="begin"/>
      </w:r>
      <w:r>
        <w:instrText xml:space="preserve"> PAGEREF _Toc18753 \h </w:instrText>
      </w:r>
      <w:r>
        <w:fldChar w:fldCharType="separate"/>
      </w:r>
      <w:r>
        <w:t>78</w:t>
      </w:r>
      <w:r>
        <w:fldChar w:fldCharType="end"/>
      </w:r>
    </w:p>
    <w:p>
      <w:pPr>
        <w:pStyle w:val="11"/>
        <w:tabs>
          <w:tab w:val="right" w:leader="dot" w:pos="8787"/>
        </w:tabs>
      </w:pPr>
      <w:r>
        <w:rPr>
          <w:highlight w:val="white"/>
        </w:rPr>
        <w:t>目录</w:t>
      </w:r>
      <w:r>
        <w:tab/>
      </w:r>
      <w:r>
        <w:fldChar w:fldCharType="begin"/>
      </w:r>
      <w:r>
        <w:instrText xml:space="preserve"> PAGEREF _Toc8522 \h </w:instrText>
      </w:r>
      <w:r>
        <w:fldChar w:fldCharType="separate"/>
      </w:r>
      <w:r>
        <w:t>79</w:t>
      </w:r>
      <w:r>
        <w:fldChar w:fldCharType="end"/>
      </w:r>
    </w:p>
    <w:p>
      <w:pPr>
        <w:pStyle w:val="11"/>
        <w:tabs>
          <w:tab w:val="right" w:leader="dot" w:pos="8787"/>
        </w:tabs>
      </w:pPr>
      <w:r>
        <w:rPr>
          <w:highlight w:val="white"/>
        </w:rPr>
        <w:t>一、投标函</w:t>
      </w:r>
      <w:r>
        <w:tab/>
      </w:r>
      <w:r>
        <w:fldChar w:fldCharType="begin"/>
      </w:r>
      <w:r>
        <w:instrText xml:space="preserve"> PAGEREF _Toc31660 \h </w:instrText>
      </w:r>
      <w:r>
        <w:fldChar w:fldCharType="separate"/>
      </w:r>
      <w:r>
        <w:t>80</w:t>
      </w:r>
      <w:r>
        <w:fldChar w:fldCharType="end"/>
      </w:r>
    </w:p>
    <w:p>
      <w:pPr>
        <w:pStyle w:val="11"/>
        <w:tabs>
          <w:tab w:val="right" w:leader="dot" w:pos="8787"/>
        </w:tabs>
      </w:pPr>
      <w:r>
        <w:rPr>
          <w:highlight w:val="white"/>
        </w:rPr>
        <w:t>二、法定代表人身份证明</w:t>
      </w:r>
      <w:r>
        <w:tab/>
      </w:r>
      <w:r>
        <w:fldChar w:fldCharType="begin"/>
      </w:r>
      <w:r>
        <w:instrText xml:space="preserve"> PAGEREF _Toc4227 \h </w:instrText>
      </w:r>
      <w:r>
        <w:fldChar w:fldCharType="separate"/>
      </w:r>
      <w:r>
        <w:t>81</w:t>
      </w:r>
      <w:r>
        <w:fldChar w:fldCharType="end"/>
      </w:r>
    </w:p>
    <w:p>
      <w:pPr>
        <w:pStyle w:val="11"/>
        <w:tabs>
          <w:tab w:val="right" w:leader="dot" w:pos="8787"/>
        </w:tabs>
      </w:pPr>
      <w:r>
        <w:rPr>
          <w:highlight w:val="white"/>
        </w:rPr>
        <w:t>三、授权委托书</w:t>
      </w:r>
      <w:r>
        <w:tab/>
      </w:r>
      <w:r>
        <w:fldChar w:fldCharType="begin"/>
      </w:r>
      <w:r>
        <w:instrText xml:space="preserve"> PAGEREF _Toc17339 \h </w:instrText>
      </w:r>
      <w:r>
        <w:fldChar w:fldCharType="separate"/>
      </w:r>
      <w:r>
        <w:t>82</w:t>
      </w:r>
      <w:r>
        <w:fldChar w:fldCharType="end"/>
      </w:r>
    </w:p>
    <w:p>
      <w:pPr>
        <w:pStyle w:val="11"/>
        <w:tabs>
          <w:tab w:val="right" w:leader="dot" w:pos="8787"/>
        </w:tabs>
      </w:pPr>
      <w:r>
        <w:rPr>
          <w:highlight w:val="white"/>
        </w:rPr>
        <w:t>四、授权身份证合同</w:t>
      </w:r>
      <w:r>
        <w:tab/>
      </w:r>
      <w:r>
        <w:fldChar w:fldCharType="begin"/>
      </w:r>
      <w:r>
        <w:instrText xml:space="preserve"> PAGEREF _Toc31692 \h </w:instrText>
      </w:r>
      <w:r>
        <w:fldChar w:fldCharType="separate"/>
      </w:r>
      <w:r>
        <w:t>83</w:t>
      </w:r>
      <w:r>
        <w:fldChar w:fldCharType="end"/>
      </w:r>
    </w:p>
    <w:p>
      <w:pPr>
        <w:pStyle w:val="11"/>
        <w:tabs>
          <w:tab w:val="right" w:leader="dot" w:pos="8787"/>
        </w:tabs>
      </w:pPr>
      <w:r>
        <w:rPr>
          <w:highlight w:val="white"/>
        </w:rPr>
        <w:t>五、投标保证金</w:t>
      </w:r>
      <w:r>
        <w:tab/>
      </w:r>
      <w:r>
        <w:fldChar w:fldCharType="begin"/>
      </w:r>
      <w:r>
        <w:instrText xml:space="preserve"> PAGEREF _Toc10655 \h </w:instrText>
      </w:r>
      <w:r>
        <w:fldChar w:fldCharType="separate"/>
      </w:r>
      <w:r>
        <w:t>84</w:t>
      </w:r>
      <w:r>
        <w:fldChar w:fldCharType="end"/>
      </w:r>
    </w:p>
    <w:p>
      <w:pPr>
        <w:pStyle w:val="11"/>
        <w:tabs>
          <w:tab w:val="right" w:leader="dot" w:pos="8787"/>
        </w:tabs>
      </w:pPr>
      <w:r>
        <w:rPr>
          <w:highlight w:val="white"/>
        </w:rPr>
        <w:t>六、投标人基本情况</w:t>
      </w:r>
      <w:r>
        <w:tab/>
      </w:r>
      <w:r>
        <w:fldChar w:fldCharType="begin"/>
      </w:r>
      <w:r>
        <w:instrText xml:space="preserve"> PAGEREF _Toc31879 \h </w:instrText>
      </w:r>
      <w:r>
        <w:fldChar w:fldCharType="separate"/>
      </w:r>
      <w:r>
        <w:t>85</w:t>
      </w:r>
      <w:r>
        <w:fldChar w:fldCharType="end"/>
      </w:r>
    </w:p>
    <w:p>
      <w:pPr>
        <w:pStyle w:val="11"/>
        <w:tabs>
          <w:tab w:val="right" w:leader="dot" w:pos="8787"/>
        </w:tabs>
      </w:pPr>
      <w:r>
        <w:rPr>
          <w:highlight w:val="white"/>
        </w:rPr>
        <w:t>七、项目负责人简历</w:t>
      </w:r>
      <w:r>
        <w:tab/>
      </w:r>
      <w:r>
        <w:fldChar w:fldCharType="begin"/>
      </w:r>
      <w:r>
        <w:instrText xml:space="preserve"> PAGEREF _Toc4953 \h </w:instrText>
      </w:r>
      <w:r>
        <w:fldChar w:fldCharType="separate"/>
      </w:r>
      <w:r>
        <w:t>87</w:t>
      </w:r>
      <w:r>
        <w:fldChar w:fldCharType="end"/>
      </w:r>
    </w:p>
    <w:p>
      <w:pPr>
        <w:pStyle w:val="11"/>
        <w:tabs>
          <w:tab w:val="right" w:leader="dot" w:pos="8787"/>
        </w:tabs>
      </w:pPr>
      <w:r>
        <w:rPr>
          <w:highlight w:val="white"/>
        </w:rPr>
        <w:t>八、社会保险证明</w:t>
      </w:r>
      <w:r>
        <w:tab/>
      </w:r>
      <w:r>
        <w:fldChar w:fldCharType="begin"/>
      </w:r>
      <w:r>
        <w:instrText xml:space="preserve"> PAGEREF _Toc29232 \h </w:instrText>
      </w:r>
      <w:r>
        <w:fldChar w:fldCharType="separate"/>
      </w:r>
      <w:r>
        <w:t>88</w:t>
      </w:r>
      <w:r>
        <w:fldChar w:fldCharType="end"/>
      </w:r>
    </w:p>
    <w:p>
      <w:pPr>
        <w:pStyle w:val="11"/>
        <w:tabs>
          <w:tab w:val="right" w:leader="dot" w:pos="8787"/>
        </w:tabs>
      </w:pPr>
      <w:r>
        <w:rPr>
          <w:highlight w:val="white"/>
        </w:rPr>
        <w:t>九、企业信息</w:t>
      </w:r>
      <w:r>
        <w:tab/>
      </w:r>
      <w:r>
        <w:fldChar w:fldCharType="begin"/>
      </w:r>
      <w:r>
        <w:instrText xml:space="preserve"> PAGEREF _Toc13813 \h </w:instrText>
      </w:r>
      <w:r>
        <w:fldChar w:fldCharType="separate"/>
      </w:r>
      <w:r>
        <w:t>89</w:t>
      </w:r>
      <w:r>
        <w:fldChar w:fldCharType="end"/>
      </w:r>
    </w:p>
    <w:p>
      <w:pPr>
        <w:pStyle w:val="11"/>
        <w:tabs>
          <w:tab w:val="right" w:leader="dot" w:pos="8787"/>
        </w:tabs>
      </w:pPr>
      <w:r>
        <w:rPr>
          <w:highlight w:val="white"/>
        </w:rPr>
        <w:t>十、已标价的工程量清单</w:t>
      </w:r>
      <w:r>
        <w:tab/>
      </w:r>
      <w:r>
        <w:fldChar w:fldCharType="begin"/>
      </w:r>
      <w:r>
        <w:instrText xml:space="preserve"> PAGEREF _Toc11066 \h </w:instrText>
      </w:r>
      <w:r>
        <w:fldChar w:fldCharType="separate"/>
      </w:r>
      <w:r>
        <w:t>90</w:t>
      </w:r>
      <w:r>
        <w:fldChar w:fldCharType="end"/>
      </w:r>
    </w:p>
    <w:p>
      <w:pPr>
        <w:pStyle w:val="11"/>
        <w:tabs>
          <w:tab w:val="right" w:leader="dot" w:pos="8787"/>
        </w:tabs>
      </w:pPr>
      <w:r>
        <w:rPr>
          <w:highlight w:val="white"/>
        </w:rPr>
        <w:t>十一、履约保证金缴纳承诺函</w:t>
      </w:r>
      <w:r>
        <w:tab/>
      </w:r>
      <w:r>
        <w:fldChar w:fldCharType="begin"/>
      </w:r>
      <w:r>
        <w:instrText xml:space="preserve"> PAGEREF _Toc9570 \h </w:instrText>
      </w:r>
      <w:r>
        <w:fldChar w:fldCharType="separate"/>
      </w:r>
      <w:r>
        <w:t>93</w:t>
      </w:r>
      <w:r>
        <w:fldChar w:fldCharType="end"/>
      </w:r>
    </w:p>
    <w:p>
      <w:pPr>
        <w:pStyle w:val="11"/>
        <w:tabs>
          <w:tab w:val="right" w:leader="dot" w:pos="8787"/>
        </w:tabs>
      </w:pPr>
      <w:r>
        <w:rPr>
          <w:highlight w:val="white"/>
        </w:rPr>
        <w:t>十二、项目负责人无在建工程等承诺书</w:t>
      </w:r>
      <w:r>
        <w:tab/>
      </w:r>
      <w:r>
        <w:fldChar w:fldCharType="begin"/>
      </w:r>
      <w:r>
        <w:instrText xml:space="preserve"> PAGEREF _Toc5621 \h </w:instrText>
      </w:r>
      <w:r>
        <w:fldChar w:fldCharType="separate"/>
      </w:r>
      <w:r>
        <w:t>94</w:t>
      </w:r>
      <w:r>
        <w:fldChar w:fldCharType="end"/>
      </w:r>
    </w:p>
    <w:p>
      <w:pPr>
        <w:pStyle w:val="11"/>
        <w:tabs>
          <w:tab w:val="right" w:leader="dot" w:pos="8787"/>
        </w:tabs>
      </w:pPr>
      <w:r>
        <w:rPr>
          <w:highlight w:val="white"/>
        </w:rPr>
        <w:t>十三、投标文件商务条款及技术条款偏离表</w:t>
      </w:r>
      <w:r>
        <w:tab/>
      </w:r>
      <w:r>
        <w:fldChar w:fldCharType="begin"/>
      </w:r>
      <w:r>
        <w:instrText xml:space="preserve"> PAGEREF _Toc8262 \h </w:instrText>
      </w:r>
      <w:r>
        <w:fldChar w:fldCharType="separate"/>
      </w:r>
      <w:r>
        <w:t>95</w:t>
      </w:r>
      <w:r>
        <w:fldChar w:fldCharType="end"/>
      </w:r>
    </w:p>
    <w:p>
      <w:pPr>
        <w:pStyle w:val="10"/>
        <w:tabs>
          <w:tab w:val="right" w:leader="dot" w:pos="8787"/>
        </w:tabs>
      </w:pPr>
      <w:r>
        <w:rPr>
          <w:rFonts w:hint="eastAsia" w:ascii="Calibri" w:hAnsi="宋体" w:eastAsia="宋体" w:cs="Times New Roman"/>
          <w:szCs w:val="28"/>
          <w:highlight w:val="white"/>
          <w:lang w:val="zh-CN"/>
        </w:rPr>
        <w:t>（投标文件与招标文件的偏离）</w:t>
      </w:r>
      <w:r>
        <w:tab/>
      </w:r>
      <w:r>
        <w:fldChar w:fldCharType="begin"/>
      </w:r>
      <w:r>
        <w:instrText xml:space="preserve"> PAGEREF _Toc16806 \h </w:instrText>
      </w:r>
      <w:r>
        <w:fldChar w:fldCharType="separate"/>
      </w:r>
      <w:r>
        <w:t>95</w:t>
      </w:r>
      <w:r>
        <w:fldChar w:fldCharType="end"/>
      </w:r>
    </w:p>
    <w:p>
      <w:pPr>
        <w:pStyle w:val="11"/>
        <w:tabs>
          <w:tab w:val="right" w:leader="dot" w:pos="8787"/>
        </w:tabs>
      </w:pPr>
      <w:r>
        <w:rPr>
          <w:highlight w:val="white"/>
        </w:rPr>
        <w:t>十四、用工承诺书</w:t>
      </w:r>
      <w:r>
        <w:tab/>
      </w:r>
      <w:r>
        <w:fldChar w:fldCharType="begin"/>
      </w:r>
      <w:r>
        <w:instrText xml:space="preserve"> PAGEREF _Toc24386 \h </w:instrText>
      </w:r>
      <w:r>
        <w:fldChar w:fldCharType="separate"/>
      </w:r>
      <w:r>
        <w:t>96</w:t>
      </w:r>
      <w:r>
        <w:fldChar w:fldCharType="end"/>
      </w:r>
    </w:p>
    <w:p>
      <w:pPr>
        <w:pStyle w:val="11"/>
        <w:tabs>
          <w:tab w:val="right" w:leader="dot" w:pos="8787"/>
        </w:tabs>
      </w:pPr>
      <w:r>
        <w:rPr>
          <w:highlight w:val="white"/>
        </w:rPr>
        <w:t>十五、投标一览表</w:t>
      </w:r>
      <w:r>
        <w:tab/>
      </w:r>
      <w:r>
        <w:fldChar w:fldCharType="begin"/>
      </w:r>
      <w:r>
        <w:instrText xml:space="preserve"> PAGEREF _Toc31015 \h </w:instrText>
      </w:r>
      <w:r>
        <w:fldChar w:fldCharType="separate"/>
      </w:r>
      <w:r>
        <w:t>97</w:t>
      </w:r>
      <w:r>
        <w:fldChar w:fldCharType="end"/>
      </w:r>
    </w:p>
    <w:p>
      <w:pPr>
        <w:wordWrap w:val="0"/>
        <w:bidi w:val="0"/>
        <w:rPr>
          <w:rFonts w:eastAsia="黑体"/>
        </w:rPr>
      </w:pPr>
      <w:r>
        <w:rPr>
          <w:rFonts w:eastAsia="黑体"/>
        </w:rPr>
        <w:fldChar w:fldCharType="end"/>
      </w:r>
    </w:p>
    <w:p>
      <w:pPr>
        <w:wordWrap w:val="0"/>
        <w:bidi w:val="0"/>
        <w:sectPr>
          <w:footerReference r:id="rId5" w:type="default"/>
          <w:pgSz w:w="11906" w:h="16838"/>
          <w:pgMar w:top="1440" w:right="1559" w:bottom="1440" w:left="1560" w:header="851" w:footer="851" w:gutter="0"/>
          <w:pgNumType w:fmt="upperRoman" w:start="1"/>
          <w:cols w:space="720" w:num="1"/>
          <w:docGrid w:linePitch="312" w:charSpace="0"/>
        </w:sectPr>
      </w:pPr>
      <w:r>
        <w:rPr>
          <w:highlight w:val="white"/>
        </w:rPr>
        <w:t xml:space="preserve">   </w:t>
      </w:r>
    </w:p>
    <w:p>
      <w:pPr>
        <w:bidi w:val="0"/>
        <w:rPr>
          <w:highlight w:val="yellow"/>
        </w:rPr>
      </w:pPr>
    </w:p>
    <w:p>
      <w:pPr>
        <w:pStyle w:val="2"/>
        <w:wordWrap w:val="0"/>
        <w:bidi w:val="0"/>
      </w:pPr>
      <w:bookmarkStart w:id="0" w:name="_Toc17576"/>
      <w:r>
        <w:rPr>
          <w:highlight w:val="white"/>
        </w:rPr>
        <w:t>第一章  招标公告</w:t>
      </w:r>
      <w:bookmarkEnd w:id="0"/>
    </w:p>
    <w:p>
      <w:pPr>
        <w:bidi w:val="0"/>
        <w:rPr>
          <w:highlight w:val="yellow"/>
        </w:rPr>
      </w:pPr>
      <w:r>
        <w:rPr>
          <w:rFonts w:hint="eastAsia"/>
          <w:color w:val="000080"/>
          <w:sz w:val="20"/>
          <w:highlight w:val="white"/>
        </w:rPr>
        <w:t xml:space="preserve">  </w:t>
      </w:r>
    </w:p>
    <w:p>
      <w:pPr>
        <w:bidi w:val="0"/>
        <w:spacing w:line="360" w:lineRule="auto"/>
        <w:jc w:val="center"/>
        <w:rPr>
          <w:sz w:val="28"/>
          <w:szCs w:val="28"/>
        </w:rPr>
      </w:pPr>
      <w:r>
        <w:rPr>
          <w:rFonts w:hint="eastAsia"/>
          <w:color w:val="0000FF"/>
          <w:sz w:val="28"/>
          <w:szCs w:val="28"/>
          <w:highlight w:val="white"/>
          <w:lang w:eastAsia="zh-CN"/>
        </w:rPr>
        <w:t>宿迁市第一人民医院综合楼大厅干挂壁瓷砖改造及感染楼干挂壁瓷砖加固工程</w:t>
      </w:r>
      <w:r>
        <w:rPr>
          <w:sz w:val="28"/>
          <w:szCs w:val="28"/>
          <w:highlight w:val="white"/>
        </w:rPr>
        <w:t>施工招标公告</w:t>
      </w:r>
    </w:p>
    <w:p>
      <w:pPr>
        <w:wordWrap w:val="0"/>
        <w:bidi w:val="0"/>
        <w:spacing w:line="360" w:lineRule="auto"/>
      </w:pPr>
    </w:p>
    <w:p>
      <w:pPr>
        <w:pStyle w:val="3"/>
        <w:bidi w:val="0"/>
        <w:adjustRightInd w:val="0"/>
        <w:snapToGrid w:val="0"/>
        <w:spacing w:line="360" w:lineRule="auto"/>
        <w:jc w:val="both"/>
        <w:rPr>
          <w:rFonts w:ascii="Times New Roman" w:hAnsi="Times New Roman"/>
        </w:rPr>
      </w:pPr>
      <w:bookmarkStart w:id="1" w:name="_Toc28645"/>
      <w:r>
        <w:rPr>
          <w:rFonts w:ascii="Times New Roman" w:hAnsi="Times New Roman"/>
          <w:highlight w:val="white"/>
        </w:rPr>
        <w:t>1. 招标条件</w:t>
      </w:r>
      <w:bookmarkEnd w:id="1"/>
    </w:p>
    <w:p>
      <w:pPr>
        <w:bidi w:val="0"/>
        <w:adjustRightInd w:val="0"/>
        <w:snapToGrid w:val="0"/>
        <w:spacing w:line="360" w:lineRule="auto"/>
        <w:ind w:firstLine="420" w:firstLineChars="200"/>
      </w:pPr>
      <w:r>
        <w:rPr>
          <w:highlight w:val="white"/>
        </w:rPr>
        <w:t>本招标项目</w:t>
      </w:r>
      <w:r>
        <w:rPr>
          <w:rFonts w:hint="eastAsia"/>
          <w:color w:val="0000FF"/>
          <w:highlight w:val="white"/>
          <w:lang w:eastAsia="zh-CN"/>
        </w:rPr>
        <w:t>宿迁市第一人民医院综合楼大厅干挂壁瓷砖改造及感染楼干挂壁瓷砖加固工程</w:t>
      </w:r>
      <w:r>
        <w:rPr>
          <w:highlight w:val="white"/>
        </w:rPr>
        <w:t>已批准建设，项目业主为</w:t>
      </w:r>
      <w:r>
        <w:rPr>
          <w:rFonts w:hint="eastAsia"/>
          <w:color w:val="0000FF"/>
          <w:highlight w:val="white"/>
          <w:lang w:eastAsia="zh-CN"/>
        </w:rPr>
        <w:t>宿迁市第一人民医院</w:t>
      </w:r>
      <w:r>
        <w:rPr>
          <w:highlight w:val="white"/>
        </w:rPr>
        <w:t>，建设资金来自</w:t>
      </w:r>
      <w:r>
        <w:rPr>
          <w:rFonts w:hint="eastAsia"/>
          <w:highlight w:val="white"/>
          <w:lang w:val="en-US" w:eastAsia="zh-CN"/>
        </w:rPr>
        <w:t>自筹</w:t>
      </w:r>
      <w:r>
        <w:rPr>
          <w:rFonts w:hint="eastAsia"/>
          <w:color w:val="0000FF"/>
          <w:highlight w:val="white"/>
        </w:rPr>
        <w:t>资金</w:t>
      </w:r>
      <w:r>
        <w:rPr>
          <w:highlight w:val="white"/>
        </w:rPr>
        <w:t>。项目已具备招标条件，现对该项目</w:t>
      </w:r>
      <w:r>
        <w:rPr>
          <w:rFonts w:hint="eastAsia"/>
          <w:color w:val="0000FF"/>
          <w:highlight w:val="white"/>
          <w:lang w:eastAsia="zh-CN"/>
        </w:rPr>
        <w:t>宿迁市第一人民医院综合楼大厅干挂壁瓷砖改造及感染楼干挂壁瓷砖加固工程</w:t>
      </w:r>
      <w:r>
        <w:rPr>
          <w:highlight w:val="white"/>
        </w:rPr>
        <w:t>的施工进行公开招标，选定中标人。</w:t>
      </w:r>
    </w:p>
    <w:p>
      <w:pPr>
        <w:pStyle w:val="3"/>
        <w:bidi w:val="0"/>
        <w:adjustRightInd w:val="0"/>
        <w:snapToGrid w:val="0"/>
        <w:spacing w:line="360" w:lineRule="auto"/>
        <w:jc w:val="both"/>
        <w:rPr>
          <w:rFonts w:ascii="Times New Roman" w:hAnsi="Times New Roman"/>
        </w:rPr>
      </w:pPr>
      <w:bookmarkStart w:id="2" w:name="_Toc14757"/>
      <w:r>
        <w:rPr>
          <w:rFonts w:ascii="Times New Roman" w:hAnsi="Times New Roman"/>
          <w:highlight w:val="white"/>
        </w:rPr>
        <w:t>2. 项目概况与招标范围</w:t>
      </w:r>
      <w:bookmarkEnd w:id="2"/>
    </w:p>
    <w:p>
      <w:pPr>
        <w:bidi w:val="0"/>
        <w:adjustRightInd w:val="0"/>
        <w:snapToGrid w:val="0"/>
        <w:spacing w:line="360" w:lineRule="auto"/>
        <w:ind w:firstLine="420" w:firstLineChars="200"/>
        <w:rPr>
          <w:rFonts w:hint="eastAsia" w:eastAsia="宋体"/>
          <w:lang w:eastAsia="zh-CN"/>
        </w:rPr>
      </w:pPr>
      <w:r>
        <w:rPr>
          <w:highlight w:val="white"/>
        </w:rPr>
        <w:t>2.1项目概况</w:t>
      </w:r>
      <w:r>
        <w:rPr>
          <w:rFonts w:hint="eastAsia"/>
          <w:highlight w:val="white"/>
        </w:rPr>
        <w:t>：</w:t>
      </w:r>
      <w:r>
        <w:rPr>
          <w:rFonts w:hint="eastAsia"/>
          <w:color w:val="0000FF"/>
          <w:highlight w:val="white"/>
          <w:lang w:eastAsia="zh-CN"/>
        </w:rPr>
        <w:t>宿迁市第一人民医院综合楼大厅干挂壁瓷砖改造及感染楼干挂壁瓷砖加固工程。</w:t>
      </w:r>
    </w:p>
    <w:p>
      <w:pPr>
        <w:bidi w:val="0"/>
        <w:adjustRightInd w:val="0"/>
        <w:snapToGrid w:val="0"/>
        <w:spacing w:line="360" w:lineRule="auto"/>
        <w:ind w:firstLine="420" w:firstLineChars="200"/>
        <w:rPr>
          <w:rFonts w:hint="default" w:eastAsia="宋体"/>
          <w:u w:val="single"/>
          <w:lang w:val="en-US" w:eastAsia="zh-CN"/>
        </w:rPr>
      </w:pPr>
      <w:r>
        <w:rPr>
          <w:highlight w:val="white"/>
        </w:rPr>
        <w:t>2.1.1建设地点：</w:t>
      </w:r>
      <w:r>
        <w:rPr>
          <w:rFonts w:hint="eastAsia"/>
          <w:color w:val="0000FF"/>
          <w:highlight w:val="white"/>
          <w:lang w:val="en-US" w:eastAsia="zh-CN"/>
        </w:rPr>
        <w:t>宿迁市第一人民医院。</w:t>
      </w:r>
    </w:p>
    <w:p>
      <w:pPr>
        <w:bidi w:val="0"/>
        <w:adjustRightInd w:val="0"/>
        <w:snapToGrid w:val="0"/>
        <w:spacing w:line="360" w:lineRule="auto"/>
        <w:ind w:firstLine="420" w:firstLineChars="200"/>
        <w:rPr>
          <w:rFonts w:hint="eastAsia" w:eastAsia="宋体"/>
          <w:highlight w:val="none"/>
          <w:lang w:eastAsia="zh-CN"/>
        </w:rPr>
      </w:pPr>
      <w:r>
        <w:rPr>
          <w:highlight w:val="white"/>
        </w:rPr>
        <w:t>2.1.2建设规模：</w:t>
      </w:r>
      <w:r>
        <w:rPr>
          <w:rFonts w:hint="eastAsia"/>
          <w:color w:val="0000FF"/>
          <w:highlight w:val="none"/>
        </w:rPr>
        <w:t>项目总投资约</w:t>
      </w:r>
      <w:r>
        <w:rPr>
          <w:rFonts w:hint="eastAsia"/>
          <w:color w:val="0000FF"/>
          <w:highlight w:val="none"/>
          <w:lang w:val="en-US" w:eastAsia="zh-CN"/>
        </w:rPr>
        <w:t>40万</w:t>
      </w:r>
      <w:r>
        <w:rPr>
          <w:rFonts w:hint="eastAsia"/>
          <w:color w:val="0000FF"/>
          <w:highlight w:val="none"/>
        </w:rPr>
        <w:t>元</w:t>
      </w:r>
      <w:r>
        <w:rPr>
          <w:highlight w:val="none"/>
        </w:rPr>
        <w:t xml:space="preserve"> </w:t>
      </w:r>
      <w:r>
        <w:rPr>
          <w:rFonts w:hint="eastAsia"/>
          <w:highlight w:val="none"/>
          <w:lang w:eastAsia="zh-CN"/>
        </w:rPr>
        <w:t>。</w:t>
      </w:r>
    </w:p>
    <w:p>
      <w:pPr>
        <w:bidi w:val="0"/>
        <w:adjustRightInd w:val="0"/>
        <w:snapToGrid w:val="0"/>
        <w:spacing w:line="360" w:lineRule="auto"/>
        <w:ind w:firstLine="420" w:firstLineChars="200"/>
        <w:rPr>
          <w:rFonts w:hint="eastAsia" w:eastAsia="宋体"/>
          <w:highlight w:val="none"/>
          <w:u w:val="single"/>
          <w:lang w:eastAsia="zh-CN"/>
        </w:rPr>
      </w:pPr>
      <w:r>
        <w:rPr>
          <w:highlight w:val="none"/>
        </w:rPr>
        <w:t>2.1.3合同估算价：</w:t>
      </w:r>
      <w:r>
        <w:rPr>
          <w:rFonts w:hint="eastAsia"/>
          <w:highlight w:val="none"/>
        </w:rPr>
        <w:t>约</w:t>
      </w:r>
      <w:r>
        <w:rPr>
          <w:rFonts w:hint="eastAsia"/>
          <w:color w:val="0000FF"/>
          <w:highlight w:val="none"/>
          <w:lang w:val="en-US" w:eastAsia="zh-CN"/>
        </w:rPr>
        <w:t>40</w:t>
      </w:r>
      <w:r>
        <w:rPr>
          <w:rFonts w:hint="eastAsia"/>
          <w:color w:val="0000FF"/>
          <w:highlight w:val="none"/>
        </w:rPr>
        <w:t>万元</w:t>
      </w:r>
      <w:r>
        <w:rPr>
          <w:rFonts w:hint="eastAsia"/>
          <w:color w:val="0000FF"/>
          <w:highlight w:val="none"/>
          <w:lang w:eastAsia="zh-CN"/>
        </w:rPr>
        <w:t>。</w:t>
      </w:r>
    </w:p>
    <w:p>
      <w:pPr>
        <w:bidi w:val="0"/>
        <w:adjustRightInd w:val="0"/>
        <w:snapToGrid w:val="0"/>
        <w:spacing w:line="360" w:lineRule="auto"/>
        <w:ind w:firstLine="420" w:firstLineChars="200"/>
        <w:rPr>
          <w:rFonts w:hint="eastAsia" w:eastAsia="宋体"/>
          <w:lang w:eastAsia="zh-CN"/>
        </w:rPr>
      </w:pPr>
      <w:r>
        <w:rPr>
          <w:highlight w:val="white"/>
        </w:rPr>
        <w:t>2.1.4工期要求：</w:t>
      </w:r>
      <w:r>
        <w:rPr>
          <w:rFonts w:hint="eastAsia"/>
          <w:color w:val="0000FF"/>
          <w:highlight w:val="white"/>
          <w:lang w:val="en-US" w:eastAsia="zh-CN"/>
        </w:rPr>
        <w:t>60</w:t>
      </w:r>
      <w:r>
        <w:rPr>
          <w:highlight w:val="white"/>
        </w:rPr>
        <w:t>日历天</w:t>
      </w:r>
      <w:r>
        <w:rPr>
          <w:rFonts w:hint="eastAsia"/>
          <w:highlight w:val="white"/>
          <w:lang w:eastAsia="zh-CN"/>
        </w:rPr>
        <w:t>。</w:t>
      </w:r>
    </w:p>
    <w:p>
      <w:pPr>
        <w:bidi w:val="0"/>
        <w:adjustRightInd w:val="0"/>
        <w:snapToGrid w:val="0"/>
        <w:spacing w:line="360" w:lineRule="auto"/>
        <w:ind w:firstLine="420" w:firstLineChars="200"/>
      </w:pPr>
      <w:r>
        <w:rPr>
          <w:highlight w:val="white"/>
        </w:rPr>
        <w:t>2.1.5 其他：</w:t>
      </w:r>
      <w:r>
        <w:rPr>
          <w:rFonts w:hint="eastAsia"/>
          <w:color w:val="0000FF"/>
          <w:highlight w:val="white"/>
          <w:lang w:eastAsia="zh-CN"/>
        </w:rPr>
        <w:t>工程竣工验收合格后付至70%，工程审计完成后付至审计价款的97%，待满质保期3年后无任何问题一次性付清余款。</w:t>
      </w:r>
    </w:p>
    <w:p>
      <w:pPr>
        <w:bidi w:val="0"/>
        <w:adjustRightInd w:val="0"/>
        <w:snapToGrid w:val="0"/>
        <w:spacing w:line="360" w:lineRule="auto"/>
        <w:ind w:firstLine="420" w:firstLineChars="200"/>
        <w:rPr>
          <w:rFonts w:hint="eastAsia"/>
          <w:u w:val="single"/>
        </w:rPr>
      </w:pPr>
      <w:r>
        <w:rPr>
          <w:highlight w:val="white"/>
        </w:rPr>
        <w:t>2.2招标范围</w:t>
      </w:r>
      <w:r>
        <w:rPr>
          <w:highlight w:val="white"/>
          <w:u w:val="single"/>
        </w:rPr>
        <w:t xml:space="preserve"> </w:t>
      </w:r>
    </w:p>
    <w:p>
      <w:pPr>
        <w:pStyle w:val="8"/>
        <w:bidi w:val="0"/>
        <w:spacing w:line="360" w:lineRule="auto"/>
        <w:ind w:firstLine="420" w:firstLineChars="200"/>
        <w:textAlignment w:val="baseline"/>
        <w:rPr>
          <w:rFonts w:ascii="宋体" w:hAnsi="宋体"/>
          <w:szCs w:val="21"/>
        </w:rPr>
      </w:pPr>
      <w:r>
        <w:rPr>
          <w:rFonts w:hint="eastAsia" w:ascii="宋体" w:hAnsi="宋体"/>
          <w:szCs w:val="21"/>
          <w:highlight w:val="white"/>
        </w:rPr>
        <w:t>本次招标工程共分</w:t>
      </w:r>
      <w:r>
        <w:rPr>
          <w:rFonts w:hint="eastAsia" w:ascii="宋体" w:hAnsi="宋体"/>
          <w:color w:val="0000FF"/>
          <w:szCs w:val="21"/>
          <w:highlight w:val="white"/>
        </w:rPr>
        <w:t>1</w:t>
      </w:r>
      <w:r>
        <w:rPr>
          <w:rFonts w:hint="eastAsia" w:ascii="宋体" w:hAnsi="宋体"/>
          <w:szCs w:val="21"/>
          <w:highlight w:val="white"/>
        </w:rPr>
        <w:t>个标段，标段划分及招标内容如下：</w:t>
      </w:r>
    </w:p>
    <w:p>
      <w:pPr>
        <w:bidi w:val="0"/>
        <w:adjustRightInd w:val="0"/>
        <w:snapToGrid w:val="0"/>
        <w:spacing w:line="360" w:lineRule="auto"/>
        <w:ind w:firstLine="420" w:firstLineChars="200"/>
        <w:rPr>
          <w:highlight w:val="green"/>
          <w:u w:val="single"/>
        </w:rPr>
      </w:pPr>
      <w:r>
        <w:rPr>
          <w:rFonts w:hint="eastAsia"/>
          <w:color w:val="0000FF"/>
          <w:highlight w:val="white"/>
          <w:u w:val="single"/>
          <w:lang w:eastAsia="zh-CN"/>
        </w:rPr>
        <w:t>宿迁市第一人民医院综合楼大厅干挂壁瓷砖改造及感染楼干挂壁瓷砖加固工程</w:t>
      </w:r>
      <w:r>
        <w:rPr>
          <w:rFonts w:hint="eastAsia"/>
          <w:color w:val="0000FF"/>
          <w:highlight w:val="white"/>
          <w:u w:val="single"/>
        </w:rPr>
        <w:t>，详见工程量清单内容。</w:t>
      </w:r>
    </w:p>
    <w:p>
      <w:pPr>
        <w:pStyle w:val="3"/>
        <w:bidi w:val="0"/>
        <w:adjustRightInd w:val="0"/>
        <w:snapToGrid w:val="0"/>
        <w:spacing w:line="360" w:lineRule="auto"/>
        <w:jc w:val="both"/>
        <w:rPr>
          <w:rFonts w:ascii="Times New Roman" w:hAnsi="Times New Roman"/>
        </w:rPr>
      </w:pPr>
      <w:bookmarkStart w:id="3" w:name="_Toc21678"/>
      <w:r>
        <w:rPr>
          <w:rFonts w:ascii="Times New Roman" w:hAnsi="Times New Roman"/>
          <w:highlight w:val="white"/>
        </w:rPr>
        <w:t>3. 投标人资格要求</w:t>
      </w:r>
      <w:bookmarkEnd w:id="3"/>
    </w:p>
    <w:p>
      <w:pPr>
        <w:bidi w:val="0"/>
        <w:adjustRightInd w:val="0"/>
        <w:snapToGrid w:val="0"/>
        <w:spacing w:line="360" w:lineRule="auto"/>
        <w:ind w:firstLine="420" w:firstLineChars="200"/>
        <w:rPr>
          <w:rFonts w:hint="eastAsia"/>
          <w:highlight w:val="green"/>
        </w:rPr>
      </w:pPr>
      <w:r>
        <w:rPr>
          <w:rFonts w:hint="eastAsia"/>
          <w:color w:val="0000FF"/>
          <w:highlight w:val="white"/>
        </w:rPr>
        <w:t xml:space="preserve">3.1有独立订立合同的能力； </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3.2企业的资质类别、等级：</w:t>
      </w:r>
      <w:r>
        <w:rPr>
          <w:rFonts w:hint="eastAsia"/>
          <w:color w:val="0000FF"/>
          <w:highlight w:val="white"/>
          <w:lang w:eastAsia="zh-CN"/>
        </w:rPr>
        <w:t>具备建筑幕墙工程专业承包二级及以上</w:t>
      </w:r>
      <w:r>
        <w:rPr>
          <w:rFonts w:hint="eastAsia"/>
          <w:color w:val="0000FF"/>
          <w:highlight w:val="white"/>
          <w:lang w:val="en-US" w:eastAsia="zh-CN"/>
        </w:rPr>
        <w:t>企业</w:t>
      </w:r>
      <w:r>
        <w:rPr>
          <w:rFonts w:hint="eastAsia"/>
          <w:color w:val="0000FF"/>
          <w:highlight w:val="white"/>
          <w:lang w:eastAsia="zh-CN"/>
        </w:rPr>
        <w:t>资质；</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3.3项目负责人注册专业、资格等级：</w:t>
      </w:r>
      <w:r>
        <w:rPr>
          <w:rFonts w:hint="eastAsia"/>
          <w:color w:val="0000FF"/>
          <w:highlight w:val="white"/>
          <w:lang w:eastAsia="zh-CN"/>
        </w:rPr>
        <w:t>具备建筑工程专业二级及以上注册建造师资格，并同时具有建筑施工企业项目负责人安全生产考核合格证书（B 类证）</w:t>
      </w:r>
      <w:r>
        <w:rPr>
          <w:rFonts w:hint="eastAsia"/>
          <w:color w:val="0000FF"/>
          <w:highlight w:val="white"/>
        </w:rPr>
        <w:t>；</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3.4本项目不接受联合体投标：</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3.5企业具备安全生产条件，并取得安全生产许可证；</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3.6项目负责人必须满足下列条件：</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3.6.</w:t>
      </w:r>
      <w:r>
        <w:rPr>
          <w:rFonts w:hint="eastAsia"/>
          <w:color w:val="0000FF"/>
          <w:highlight w:val="white"/>
          <w:lang w:val="en-US" w:eastAsia="zh-CN"/>
        </w:rPr>
        <w:t>1</w:t>
      </w:r>
      <w:r>
        <w:rPr>
          <w:rFonts w:hint="eastAsia"/>
          <w:color w:val="0000FF"/>
          <w:highlight w:val="white"/>
        </w:rPr>
        <w:t>项目负责人是非变更后无在建工程，或项目负责人是变更后无在建工程（必须原合同工期已满且变更备案之日已满6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3.6.</w:t>
      </w:r>
      <w:r>
        <w:rPr>
          <w:rFonts w:hint="eastAsia"/>
          <w:color w:val="0000FF"/>
          <w:highlight w:val="white"/>
          <w:lang w:val="en-US" w:eastAsia="zh-CN"/>
        </w:rPr>
        <w:t>2</w:t>
      </w:r>
      <w:r>
        <w:rPr>
          <w:rFonts w:hint="eastAsia"/>
          <w:color w:val="0000FF"/>
          <w:highlight w:val="white"/>
        </w:rPr>
        <w:t>项目负责人无行贿犯罪行为记录；或者有行贿犯罪行为记录，但自记录之日起已超过5年的。</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3.7投标人不得存在下列情形之一：</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3.7.1为招标人不具有独立法人资格的附属机构（单位）；</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 xml:space="preserve">3.7.2为本招标项目的监理人、代建人、项目管理人，以及为本招标项目提供招标代理、设计服务的； </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 xml:space="preserve">3.7.3与本招标项目的监理人、代建人、招标代理机构同为一个法定代表人的，或者相互控股、参股的； </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 xml:space="preserve">3.7.4与招标人存在利害关系可能影响招标公正性的； </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3.7.5单位负责人为同一人或者存在控股、管理关系的不同单位；</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 xml:space="preserve">3.7.6处于被责令停业、财产被接管、冻结和破产状态，以及投标资格被取消或者被暂停且在暂停期内； </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 xml:space="preserve">3.7.7因拖欠工人工资或者因发生质量安全事故被有关部门限制在招标项目所在地承接工程的； </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 xml:space="preserve">3.7.8投标人近3年内有行贿犯罪行为且被记录，或者法定代表人有行贿犯罪记录且自记录之日起未超过5年的。 </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3.8投标人</w:t>
      </w:r>
      <w:r>
        <w:rPr>
          <w:rFonts w:hint="eastAsia"/>
          <w:color w:val="0000FF"/>
          <w:highlight w:val="white"/>
          <w:lang w:eastAsia="zh-CN"/>
        </w:rPr>
        <w:t>拟派</w:t>
      </w:r>
      <w:r>
        <w:rPr>
          <w:rFonts w:hint="eastAsia"/>
          <w:color w:val="0000FF"/>
          <w:highlight w:val="white"/>
        </w:rPr>
        <w:t xml:space="preserve">项目负责人必须为本单位人员，且在投标时提供投标前6个月内本单位为其办理的任意一个月社会养老保险或医疗保险缴纳证明材料。 </w:t>
      </w:r>
    </w:p>
    <w:p>
      <w:pPr>
        <w:bidi w:val="0"/>
        <w:adjustRightInd w:val="0"/>
        <w:snapToGrid w:val="0"/>
        <w:spacing w:line="360" w:lineRule="auto"/>
        <w:ind w:firstLine="420" w:firstLineChars="200"/>
        <w:rPr>
          <w:rFonts w:hint="eastAsia"/>
          <w:color w:val="0000FF"/>
          <w:highlight w:val="white"/>
        </w:rPr>
      </w:pPr>
      <w:r>
        <w:rPr>
          <w:rFonts w:hint="eastAsia"/>
          <w:color w:val="0000FF"/>
          <w:highlight w:val="white"/>
        </w:rPr>
        <w:t>3.9符合法律、法规规定的其他条件。</w:t>
      </w:r>
    </w:p>
    <w:p>
      <w:pPr>
        <w:pStyle w:val="3"/>
        <w:bidi w:val="0"/>
        <w:adjustRightInd w:val="0"/>
        <w:snapToGrid w:val="0"/>
        <w:spacing w:line="360" w:lineRule="auto"/>
        <w:jc w:val="both"/>
        <w:rPr>
          <w:rFonts w:ascii="Times New Roman" w:hAnsi="Times New Roman"/>
        </w:rPr>
      </w:pPr>
      <w:bookmarkStart w:id="4" w:name="_Toc19106"/>
      <w:r>
        <w:rPr>
          <w:rFonts w:ascii="Times New Roman" w:hAnsi="Times New Roman"/>
          <w:highlight w:val="white"/>
        </w:rPr>
        <w:t>4. 招标文件的获取</w:t>
      </w:r>
      <w:bookmarkEnd w:id="4"/>
    </w:p>
    <w:p>
      <w:pPr>
        <w:pStyle w:val="3"/>
        <w:bidi w:val="0"/>
        <w:adjustRightInd w:val="0"/>
        <w:snapToGrid w:val="0"/>
        <w:spacing w:line="360" w:lineRule="auto"/>
        <w:ind w:firstLine="420" w:firstLineChars="200"/>
        <w:jc w:val="both"/>
        <w:rPr>
          <w:rFonts w:hint="eastAsia" w:ascii="Calibri" w:hAnsi="Calibri" w:eastAsia="宋体" w:cs="Times New Roman"/>
          <w:b w:val="0"/>
          <w:bCs w:val="0"/>
          <w:color w:val="0000FF"/>
          <w:kern w:val="2"/>
          <w:sz w:val="21"/>
          <w:szCs w:val="22"/>
          <w:highlight w:val="white"/>
          <w:lang w:val="en-US" w:eastAsia="zh-CN" w:bidi="ar-SA"/>
        </w:rPr>
      </w:pPr>
      <w:bookmarkStart w:id="5" w:name="_Toc17357"/>
      <w:r>
        <w:rPr>
          <w:rFonts w:hint="eastAsia" w:ascii="Calibri" w:hAnsi="Calibri" w:eastAsia="宋体" w:cs="Times New Roman"/>
          <w:b w:val="0"/>
          <w:bCs w:val="0"/>
          <w:color w:val="0000FF"/>
          <w:kern w:val="2"/>
          <w:sz w:val="21"/>
          <w:szCs w:val="22"/>
          <w:highlight w:val="white"/>
          <w:lang w:val="en-US" w:eastAsia="zh-CN" w:bidi="ar-SA"/>
        </w:rPr>
        <w:t>4.1招标文件获取时间为：2024年0</w:t>
      </w:r>
      <w:r>
        <w:rPr>
          <w:rFonts w:hint="eastAsia" w:ascii="Calibri" w:hAnsi="Calibri" w:cs="Times New Roman"/>
          <w:b w:val="0"/>
          <w:bCs w:val="0"/>
          <w:color w:val="0000FF"/>
          <w:kern w:val="2"/>
          <w:sz w:val="21"/>
          <w:szCs w:val="22"/>
          <w:highlight w:val="white"/>
          <w:lang w:val="en-US" w:eastAsia="zh-CN" w:bidi="ar-SA"/>
        </w:rPr>
        <w:t>4</w:t>
      </w:r>
      <w:r>
        <w:rPr>
          <w:rFonts w:hint="eastAsia" w:ascii="Calibri" w:hAnsi="Calibri" w:eastAsia="宋体" w:cs="Times New Roman"/>
          <w:b w:val="0"/>
          <w:bCs w:val="0"/>
          <w:color w:val="0000FF"/>
          <w:kern w:val="2"/>
          <w:sz w:val="21"/>
          <w:szCs w:val="22"/>
          <w:highlight w:val="white"/>
          <w:lang w:val="en-US" w:eastAsia="zh-CN" w:bidi="ar-SA"/>
        </w:rPr>
        <w:t>月</w:t>
      </w:r>
      <w:r>
        <w:rPr>
          <w:rFonts w:hint="eastAsia" w:ascii="Calibri" w:hAnsi="Calibri" w:cs="Times New Roman"/>
          <w:b w:val="0"/>
          <w:bCs w:val="0"/>
          <w:color w:val="0000FF"/>
          <w:kern w:val="2"/>
          <w:sz w:val="21"/>
          <w:szCs w:val="22"/>
          <w:highlight w:val="white"/>
          <w:lang w:val="en-US" w:eastAsia="zh-CN" w:bidi="ar-SA"/>
        </w:rPr>
        <w:t>23</w:t>
      </w:r>
      <w:r>
        <w:rPr>
          <w:rFonts w:hint="eastAsia" w:ascii="Calibri" w:hAnsi="Calibri" w:eastAsia="宋体" w:cs="Times New Roman"/>
          <w:b w:val="0"/>
          <w:bCs w:val="0"/>
          <w:color w:val="0000FF"/>
          <w:kern w:val="2"/>
          <w:sz w:val="21"/>
          <w:szCs w:val="22"/>
          <w:highlight w:val="white"/>
          <w:lang w:val="en-US" w:eastAsia="zh-CN" w:bidi="ar-SA"/>
        </w:rPr>
        <w:t>日 09:00至2024年04月</w:t>
      </w:r>
      <w:r>
        <w:rPr>
          <w:rFonts w:hint="eastAsia" w:ascii="Calibri" w:hAnsi="Calibri" w:cs="Times New Roman"/>
          <w:b w:val="0"/>
          <w:bCs w:val="0"/>
          <w:color w:val="0000FF"/>
          <w:kern w:val="2"/>
          <w:sz w:val="21"/>
          <w:szCs w:val="22"/>
          <w:highlight w:val="white"/>
          <w:lang w:val="en-US" w:eastAsia="zh-CN" w:bidi="ar-SA"/>
        </w:rPr>
        <w:t>28</w:t>
      </w:r>
      <w:r>
        <w:rPr>
          <w:rFonts w:hint="eastAsia" w:ascii="Calibri" w:hAnsi="Calibri" w:eastAsia="宋体" w:cs="Times New Roman"/>
          <w:b w:val="0"/>
          <w:bCs w:val="0"/>
          <w:color w:val="0000FF"/>
          <w:kern w:val="2"/>
          <w:sz w:val="21"/>
          <w:szCs w:val="22"/>
          <w:highlight w:val="white"/>
          <w:lang w:val="en-US" w:eastAsia="zh-CN" w:bidi="ar-SA"/>
        </w:rPr>
        <w:t xml:space="preserve">日 17:30； </w:t>
      </w:r>
    </w:p>
    <w:p>
      <w:pPr>
        <w:pStyle w:val="3"/>
        <w:bidi w:val="0"/>
        <w:adjustRightInd w:val="0"/>
        <w:snapToGrid w:val="0"/>
        <w:spacing w:line="360" w:lineRule="auto"/>
        <w:ind w:firstLine="420" w:firstLineChars="200"/>
        <w:jc w:val="both"/>
        <w:rPr>
          <w:rFonts w:hint="eastAsia" w:ascii="Calibri" w:hAnsi="Calibri" w:eastAsia="宋体" w:cs="Times New Roman"/>
          <w:b w:val="0"/>
          <w:bCs w:val="0"/>
          <w:color w:val="0000FF"/>
          <w:kern w:val="2"/>
          <w:sz w:val="21"/>
          <w:szCs w:val="22"/>
          <w:highlight w:val="white"/>
          <w:lang w:val="en-US" w:eastAsia="zh-CN" w:bidi="ar-SA"/>
        </w:rPr>
      </w:pPr>
      <w:r>
        <w:rPr>
          <w:rFonts w:hint="eastAsia" w:ascii="Calibri" w:hAnsi="Calibri" w:eastAsia="宋体" w:cs="Times New Roman"/>
          <w:b w:val="0"/>
          <w:bCs w:val="0"/>
          <w:color w:val="0000FF"/>
          <w:kern w:val="2"/>
          <w:sz w:val="21"/>
          <w:szCs w:val="22"/>
          <w:highlight w:val="white"/>
          <w:lang w:val="en-US" w:eastAsia="zh-CN" w:bidi="ar-SA"/>
        </w:rPr>
        <w:t>4.2招标文件获取方式：现场或微信报名；</w:t>
      </w:r>
    </w:p>
    <w:p>
      <w:pPr>
        <w:pStyle w:val="3"/>
        <w:bidi w:val="0"/>
        <w:adjustRightInd w:val="0"/>
        <w:snapToGrid w:val="0"/>
        <w:spacing w:line="360" w:lineRule="auto"/>
        <w:ind w:firstLine="420" w:firstLineChars="200"/>
        <w:jc w:val="both"/>
        <w:rPr>
          <w:rFonts w:hint="default" w:ascii="Calibri" w:hAnsi="Calibri" w:eastAsia="宋体" w:cs="Times New Roman"/>
          <w:b w:val="0"/>
          <w:bCs w:val="0"/>
          <w:color w:val="0000FF"/>
          <w:kern w:val="2"/>
          <w:sz w:val="21"/>
          <w:szCs w:val="22"/>
          <w:highlight w:val="white"/>
          <w:lang w:val="en-US" w:eastAsia="zh-CN" w:bidi="ar-SA"/>
        </w:rPr>
      </w:pPr>
      <w:r>
        <w:rPr>
          <w:rFonts w:hint="eastAsia" w:ascii="Calibri" w:hAnsi="Calibri" w:eastAsia="宋体" w:cs="Times New Roman"/>
          <w:b w:val="0"/>
          <w:bCs w:val="0"/>
          <w:color w:val="0000FF"/>
          <w:kern w:val="2"/>
          <w:sz w:val="21"/>
          <w:szCs w:val="22"/>
          <w:highlight w:val="white"/>
          <w:lang w:val="en-US" w:eastAsia="zh-CN" w:bidi="ar-SA"/>
        </w:rPr>
        <w:t>联系方式：姜雨辰   18851527024</w:t>
      </w:r>
    </w:p>
    <w:p>
      <w:pPr>
        <w:pStyle w:val="3"/>
        <w:bidi w:val="0"/>
        <w:adjustRightInd w:val="0"/>
        <w:snapToGrid w:val="0"/>
        <w:spacing w:line="360" w:lineRule="auto"/>
        <w:ind w:firstLine="420" w:firstLineChars="200"/>
        <w:jc w:val="both"/>
        <w:rPr>
          <w:rFonts w:hint="eastAsia" w:ascii="Calibri" w:hAnsi="Calibri" w:eastAsia="宋体" w:cs="Times New Roman"/>
          <w:b w:val="0"/>
          <w:bCs w:val="0"/>
          <w:color w:val="0000FF"/>
          <w:kern w:val="2"/>
          <w:sz w:val="21"/>
          <w:szCs w:val="22"/>
          <w:highlight w:val="white"/>
          <w:lang w:val="en-US" w:eastAsia="zh-CN" w:bidi="ar-SA"/>
        </w:rPr>
      </w:pPr>
      <w:r>
        <w:rPr>
          <w:rFonts w:hint="eastAsia" w:ascii="Calibri" w:hAnsi="Calibri" w:eastAsia="宋体" w:cs="Times New Roman"/>
          <w:b w:val="0"/>
          <w:bCs w:val="0"/>
          <w:color w:val="0000FF"/>
          <w:kern w:val="2"/>
          <w:sz w:val="21"/>
          <w:szCs w:val="22"/>
          <w:highlight w:val="white"/>
          <w:lang w:val="en-US" w:eastAsia="zh-CN" w:bidi="ar-SA"/>
        </w:rPr>
        <w:t>报名所需材料：①企业法人营业执照、企业资质证书、安全生产许可证复印件；②法定代表人身份证明或法定代表人针对本项目的授权委托书（原件）；③授权委托人身份证复印件。以上材料均加盖公章。</w:t>
      </w:r>
    </w:p>
    <w:p>
      <w:pPr>
        <w:pStyle w:val="3"/>
        <w:bidi w:val="0"/>
        <w:adjustRightInd w:val="0"/>
        <w:snapToGrid w:val="0"/>
        <w:spacing w:line="360" w:lineRule="auto"/>
        <w:jc w:val="both"/>
        <w:rPr>
          <w:rFonts w:ascii="Times New Roman" w:hAnsi="Times New Roman"/>
        </w:rPr>
      </w:pPr>
      <w:r>
        <w:rPr>
          <w:rFonts w:ascii="Times New Roman" w:hAnsi="Times New Roman"/>
          <w:highlight w:val="white"/>
        </w:rPr>
        <w:t>5. 投标截止时间</w:t>
      </w:r>
      <w:bookmarkEnd w:id="5"/>
    </w:p>
    <w:p>
      <w:pPr>
        <w:pStyle w:val="17"/>
        <w:widowControl/>
        <w:bidi w:val="0"/>
        <w:spacing w:line="360" w:lineRule="auto"/>
        <w:ind w:firstLine="420" w:firstLineChars="200"/>
        <w:rPr>
          <w:rFonts w:ascii="Times New Roman" w:hAnsi="Times New Roman"/>
          <w:kern w:val="0"/>
          <w:szCs w:val="21"/>
        </w:rPr>
      </w:pPr>
      <w:r>
        <w:rPr>
          <w:rFonts w:ascii="Times New Roman" w:hAnsi="Times New Roman"/>
          <w:kern w:val="0"/>
          <w:szCs w:val="21"/>
          <w:highlight w:val="white"/>
        </w:rPr>
        <w:t>5.1 投标文件的递交截止时间（开标时间）：</w:t>
      </w:r>
      <w:r>
        <w:rPr>
          <w:rFonts w:hint="eastAsia" w:ascii="Times New Roman" w:hAnsi="Times New Roman"/>
          <w:kern w:val="0"/>
          <w:szCs w:val="21"/>
          <w:highlight w:val="white"/>
        </w:rPr>
        <w:t>202</w:t>
      </w:r>
      <w:r>
        <w:rPr>
          <w:rFonts w:hint="eastAsia" w:ascii="Times New Roman" w:hAnsi="Times New Roman"/>
          <w:kern w:val="0"/>
          <w:szCs w:val="21"/>
          <w:highlight w:val="white"/>
          <w:lang w:val="en-US" w:eastAsia="zh-CN"/>
        </w:rPr>
        <w:t>4</w:t>
      </w:r>
      <w:r>
        <w:rPr>
          <w:rFonts w:hint="eastAsia" w:ascii="Times New Roman" w:hAnsi="Times New Roman"/>
          <w:kern w:val="0"/>
          <w:szCs w:val="21"/>
          <w:highlight w:val="white"/>
        </w:rPr>
        <w:t>年</w:t>
      </w:r>
      <w:r>
        <w:rPr>
          <w:rFonts w:hint="eastAsia" w:ascii="Times New Roman" w:hAnsi="Times New Roman"/>
          <w:kern w:val="0"/>
          <w:szCs w:val="21"/>
          <w:highlight w:val="white"/>
          <w:lang w:val="en-US" w:eastAsia="zh-CN"/>
        </w:rPr>
        <w:t>05</w:t>
      </w:r>
      <w:r>
        <w:rPr>
          <w:rFonts w:hint="eastAsia" w:ascii="Times New Roman" w:hAnsi="Times New Roman"/>
          <w:kern w:val="0"/>
          <w:szCs w:val="21"/>
          <w:highlight w:val="white"/>
        </w:rPr>
        <w:t>月</w:t>
      </w:r>
      <w:r>
        <w:rPr>
          <w:rFonts w:hint="eastAsia" w:ascii="Times New Roman" w:hAnsi="Times New Roman"/>
          <w:kern w:val="0"/>
          <w:szCs w:val="21"/>
          <w:highlight w:val="white"/>
          <w:lang w:val="en-US" w:eastAsia="zh-CN"/>
        </w:rPr>
        <w:t>06</w:t>
      </w:r>
      <w:r>
        <w:rPr>
          <w:rFonts w:hint="eastAsia" w:ascii="Times New Roman" w:hAnsi="Times New Roman"/>
          <w:kern w:val="0"/>
          <w:szCs w:val="21"/>
          <w:highlight w:val="white"/>
        </w:rPr>
        <w:t>日15:00</w:t>
      </w:r>
      <w:r>
        <w:rPr>
          <w:rFonts w:ascii="Times New Roman" w:hAnsi="Times New Roman"/>
          <w:kern w:val="0"/>
          <w:szCs w:val="21"/>
          <w:highlight w:val="white"/>
        </w:rPr>
        <w:t>；</w:t>
      </w:r>
    </w:p>
    <w:p>
      <w:pPr>
        <w:pStyle w:val="17"/>
        <w:widowControl/>
        <w:bidi w:val="0"/>
        <w:spacing w:line="360" w:lineRule="auto"/>
        <w:ind w:firstLine="420" w:firstLineChars="200"/>
        <w:rPr>
          <w:rFonts w:hint="eastAsia" w:ascii="Times New Roman" w:hAnsi="Times New Roman" w:eastAsia="宋体"/>
          <w:color w:val="0000FF"/>
          <w:kern w:val="0"/>
          <w:szCs w:val="21"/>
          <w:highlight w:val="white"/>
          <w:lang w:eastAsia="zh-CN"/>
        </w:rPr>
      </w:pPr>
      <w:r>
        <w:rPr>
          <w:rFonts w:ascii="Times New Roman" w:hAnsi="Times New Roman"/>
          <w:kern w:val="0"/>
          <w:szCs w:val="21"/>
          <w:highlight w:val="white"/>
        </w:rPr>
        <w:t>5.2 开标地点：</w:t>
      </w:r>
      <w:r>
        <w:rPr>
          <w:rFonts w:hint="eastAsia" w:ascii="Times New Roman" w:hAnsi="Times New Roman"/>
          <w:kern w:val="0"/>
          <w:szCs w:val="21"/>
          <w:highlight w:val="white"/>
        </w:rPr>
        <w:t>江苏正诚建设工程管理有限公司</w:t>
      </w:r>
      <w:r>
        <w:rPr>
          <w:rFonts w:hint="eastAsia" w:ascii="Times New Roman" w:hAnsi="Times New Roman"/>
          <w:kern w:val="0"/>
          <w:szCs w:val="21"/>
          <w:highlight w:val="white"/>
          <w:lang w:eastAsia="zh-CN"/>
        </w:rPr>
        <w:t>会议室</w:t>
      </w:r>
      <w:r>
        <w:rPr>
          <w:rFonts w:hint="eastAsia" w:ascii="Times New Roman" w:hAnsi="Times New Roman"/>
          <w:kern w:val="0"/>
          <w:szCs w:val="21"/>
          <w:highlight w:val="white"/>
        </w:rPr>
        <w:t>（泰和祥府转角商业楼二楼）</w:t>
      </w:r>
    </w:p>
    <w:p>
      <w:pPr>
        <w:pStyle w:val="17"/>
        <w:widowControl/>
        <w:bidi w:val="0"/>
        <w:spacing w:line="360" w:lineRule="auto"/>
        <w:ind w:firstLine="420" w:firstLineChars="200"/>
        <w:rPr>
          <w:rFonts w:hint="eastAsia" w:ascii="Times New Roman" w:hAnsi="Times New Roman"/>
          <w:color w:val="0000FF"/>
          <w:kern w:val="0"/>
          <w:szCs w:val="21"/>
          <w:highlight w:val="white"/>
          <w:lang w:eastAsia="zh-CN"/>
        </w:rPr>
      </w:pPr>
      <w:r>
        <w:rPr>
          <w:rFonts w:hint="eastAsia" w:ascii="Times New Roman" w:hAnsi="Times New Roman"/>
          <w:kern w:val="0"/>
          <w:szCs w:val="21"/>
          <w:highlight w:val="white"/>
          <w:lang w:val="en-US" w:eastAsia="zh-CN"/>
        </w:rPr>
        <w:t>5.3</w:t>
      </w:r>
      <w:r>
        <w:rPr>
          <w:rFonts w:hint="eastAsia" w:ascii="Times New Roman" w:hAnsi="Times New Roman"/>
          <w:kern w:val="0"/>
          <w:szCs w:val="21"/>
          <w:highlight w:val="white"/>
        </w:rPr>
        <w:t>逾期送达或者未送达指定地点的投标文件，招标人不予受理</w:t>
      </w:r>
      <w:r>
        <w:rPr>
          <w:rFonts w:hint="eastAsia" w:ascii="Times New Roman" w:hAnsi="Times New Roman"/>
          <w:kern w:val="0"/>
          <w:szCs w:val="21"/>
          <w:highlight w:val="white"/>
          <w:lang w:val="en-US" w:eastAsia="zh-CN"/>
        </w:rPr>
        <w:t>.</w:t>
      </w:r>
    </w:p>
    <w:p>
      <w:pPr>
        <w:pStyle w:val="3"/>
        <w:bidi w:val="0"/>
        <w:adjustRightInd w:val="0"/>
        <w:snapToGrid w:val="0"/>
        <w:spacing w:line="360" w:lineRule="auto"/>
        <w:jc w:val="both"/>
        <w:rPr>
          <w:rFonts w:ascii="Times New Roman" w:hAnsi="Times New Roman"/>
        </w:rPr>
      </w:pPr>
      <w:bookmarkStart w:id="6" w:name="_Toc30381"/>
      <w:r>
        <w:rPr>
          <w:rFonts w:ascii="Times New Roman" w:hAnsi="Times New Roman"/>
          <w:highlight w:val="white"/>
        </w:rPr>
        <w:t>6. 资格审查</w:t>
      </w:r>
      <w:bookmarkEnd w:id="6"/>
    </w:p>
    <w:p>
      <w:pPr>
        <w:topLinePunct/>
        <w:bidi w:val="0"/>
        <w:adjustRightInd w:val="0"/>
        <w:snapToGrid w:val="0"/>
        <w:spacing w:line="360" w:lineRule="auto"/>
        <w:ind w:firstLine="424" w:firstLineChars="202"/>
        <w:rPr>
          <w:szCs w:val="21"/>
        </w:rPr>
      </w:pPr>
      <w:r>
        <w:rPr>
          <w:szCs w:val="21"/>
          <w:highlight w:val="white"/>
        </w:rPr>
        <w:t>本次招标采用资格后审方式进行资格审查，资格评审标准详见招标文件第三章。</w:t>
      </w:r>
    </w:p>
    <w:p>
      <w:pPr>
        <w:pStyle w:val="3"/>
        <w:bidi w:val="0"/>
        <w:adjustRightInd w:val="0"/>
        <w:snapToGrid w:val="0"/>
        <w:spacing w:line="360" w:lineRule="auto"/>
        <w:jc w:val="both"/>
        <w:rPr>
          <w:rFonts w:ascii="Times New Roman" w:hAnsi="Times New Roman"/>
        </w:rPr>
      </w:pPr>
      <w:bookmarkStart w:id="7" w:name="_Toc13467"/>
      <w:r>
        <w:rPr>
          <w:rFonts w:ascii="Times New Roman" w:hAnsi="Times New Roman"/>
          <w:highlight w:val="white"/>
        </w:rPr>
        <w:t>7. 评标方法</w:t>
      </w:r>
      <w:bookmarkEnd w:id="7"/>
    </w:p>
    <w:p>
      <w:pPr>
        <w:bidi w:val="0"/>
        <w:adjustRightInd w:val="0"/>
        <w:snapToGrid w:val="0"/>
        <w:spacing w:line="360" w:lineRule="auto"/>
        <w:ind w:firstLine="420" w:firstLineChars="200"/>
        <w:rPr>
          <w:rFonts w:ascii="宋体" w:hAnsi="宋体"/>
          <w:szCs w:val="21"/>
          <w:u w:val="single"/>
        </w:rPr>
      </w:pPr>
      <w:r>
        <w:rPr>
          <w:szCs w:val="21"/>
          <w:highlight w:val="white"/>
        </w:rPr>
        <w:t>本次招标采用</w:t>
      </w:r>
      <w:r>
        <w:rPr>
          <w:rFonts w:hint="eastAsia"/>
          <w:szCs w:val="21"/>
          <w:highlight w:val="white"/>
          <w:lang w:eastAsia="zh-CN"/>
        </w:rPr>
        <w:t>：</w:t>
      </w:r>
      <w:r>
        <w:rPr>
          <w:rFonts w:ascii="宋体" w:hAnsi="宋体"/>
          <w:szCs w:val="21"/>
          <w:highlight w:val="white"/>
          <w:u w:val="single"/>
        </w:rPr>
        <w:t xml:space="preserve">合理低价法 </w:t>
      </w:r>
    </w:p>
    <w:p>
      <w:pPr>
        <w:bidi w:val="0"/>
        <w:adjustRightInd w:val="0"/>
        <w:snapToGrid w:val="0"/>
        <w:spacing w:line="360" w:lineRule="auto"/>
        <w:ind w:firstLine="420" w:firstLineChars="200"/>
        <w:rPr>
          <w:szCs w:val="21"/>
        </w:rPr>
      </w:pPr>
      <w:r>
        <w:rPr>
          <w:szCs w:val="21"/>
          <w:highlight w:val="white"/>
        </w:rPr>
        <w:t>评标标准和方法详见招标文件第三章。</w:t>
      </w:r>
    </w:p>
    <w:p>
      <w:pPr>
        <w:pStyle w:val="3"/>
        <w:bidi w:val="0"/>
        <w:adjustRightInd w:val="0"/>
        <w:snapToGrid w:val="0"/>
        <w:spacing w:line="360" w:lineRule="auto"/>
        <w:jc w:val="both"/>
        <w:rPr>
          <w:rFonts w:ascii="Times New Roman" w:hAnsi="Times New Roman"/>
        </w:rPr>
      </w:pPr>
      <w:bookmarkStart w:id="8" w:name="_Toc8726"/>
      <w:r>
        <w:rPr>
          <w:rFonts w:hint="eastAsia" w:ascii="Times New Roman" w:hAnsi="Times New Roman"/>
          <w:highlight w:val="white"/>
        </w:rPr>
        <w:t>8</w:t>
      </w:r>
      <w:r>
        <w:rPr>
          <w:rFonts w:ascii="Times New Roman" w:hAnsi="Times New Roman"/>
          <w:highlight w:val="white"/>
        </w:rPr>
        <w:t>.</w:t>
      </w:r>
      <w:r>
        <w:rPr>
          <w:rFonts w:hint="eastAsia" w:ascii="Times New Roman" w:hAnsi="Times New Roman"/>
          <w:highlight w:val="white"/>
        </w:rPr>
        <w:t xml:space="preserve"> </w:t>
      </w:r>
      <w:r>
        <w:rPr>
          <w:rFonts w:ascii="Times New Roman" w:hAnsi="Times New Roman"/>
          <w:highlight w:val="white"/>
        </w:rPr>
        <w:t>发布公告的媒介</w:t>
      </w:r>
      <w:bookmarkEnd w:id="8"/>
    </w:p>
    <w:p>
      <w:pPr>
        <w:pStyle w:val="3"/>
        <w:bidi w:val="0"/>
        <w:adjustRightInd w:val="0"/>
        <w:snapToGrid w:val="0"/>
        <w:spacing w:line="360" w:lineRule="auto"/>
        <w:ind w:firstLine="420" w:firstLineChars="200"/>
        <w:jc w:val="both"/>
        <w:rPr>
          <w:rFonts w:hint="eastAsia" w:ascii="Times New Roman" w:hAnsi="Times New Roman"/>
          <w:highlight w:val="white"/>
        </w:rPr>
      </w:pPr>
      <w:bookmarkStart w:id="9" w:name="_Toc8961"/>
      <w:r>
        <w:rPr>
          <w:rFonts w:hint="eastAsia" w:ascii="Calibri" w:hAnsi="Calibri" w:eastAsia="宋体" w:cs="Times New Roman"/>
          <w:b w:val="0"/>
          <w:bCs w:val="0"/>
          <w:kern w:val="2"/>
          <w:sz w:val="21"/>
          <w:szCs w:val="21"/>
          <w:highlight w:val="white"/>
          <w:lang w:val="en-US" w:eastAsia="zh-CN" w:bidi="ar-SA"/>
        </w:rPr>
        <w:t>本次招标公告在宿迁市第一人民医院发布。</w:t>
      </w:r>
    </w:p>
    <w:p>
      <w:pPr>
        <w:pStyle w:val="3"/>
        <w:bidi w:val="0"/>
        <w:adjustRightInd w:val="0"/>
        <w:snapToGrid w:val="0"/>
        <w:spacing w:line="360" w:lineRule="auto"/>
        <w:jc w:val="both"/>
        <w:rPr>
          <w:rFonts w:hint="eastAsia" w:ascii="Times New Roman" w:hAnsi="Times New Roman"/>
        </w:rPr>
      </w:pPr>
      <w:r>
        <w:rPr>
          <w:rFonts w:hint="eastAsia" w:ascii="Times New Roman" w:hAnsi="Times New Roman"/>
          <w:highlight w:val="white"/>
        </w:rPr>
        <w:t>9</w:t>
      </w:r>
      <w:r>
        <w:rPr>
          <w:rFonts w:ascii="Times New Roman" w:hAnsi="Times New Roman"/>
          <w:highlight w:val="white"/>
        </w:rPr>
        <w:t>.</w:t>
      </w:r>
      <w:r>
        <w:rPr>
          <w:rFonts w:hint="eastAsia" w:ascii="Times New Roman" w:hAnsi="Times New Roman"/>
          <w:highlight w:val="white"/>
        </w:rPr>
        <w:t xml:space="preserve"> </w:t>
      </w:r>
      <w:r>
        <w:rPr>
          <w:rFonts w:ascii="Times New Roman" w:hAnsi="Times New Roman"/>
          <w:highlight w:val="white"/>
        </w:rPr>
        <w:t>联系方式</w:t>
      </w:r>
      <w:bookmarkEnd w:id="9"/>
    </w:p>
    <w:tbl>
      <w:tblPr>
        <w:tblStyle w:val="13"/>
        <w:tblW w:w="0" w:type="auto"/>
        <w:tblInd w:w="0" w:type="dxa"/>
        <w:tblLayout w:type="autofit"/>
        <w:tblCellMar>
          <w:top w:w="0" w:type="dxa"/>
          <w:left w:w="108" w:type="dxa"/>
          <w:bottom w:w="0" w:type="dxa"/>
          <w:right w:w="108" w:type="dxa"/>
        </w:tblCellMar>
      </w:tblPr>
      <w:tblGrid>
        <w:gridCol w:w="4077"/>
        <w:gridCol w:w="4926"/>
      </w:tblGrid>
      <w:tr>
        <w:tblPrEx>
          <w:tblCellMar>
            <w:top w:w="0" w:type="dxa"/>
            <w:left w:w="108" w:type="dxa"/>
            <w:bottom w:w="0" w:type="dxa"/>
            <w:right w:w="108" w:type="dxa"/>
          </w:tblCellMar>
        </w:tblPrEx>
        <w:tc>
          <w:tcPr>
            <w:tcW w:w="4077" w:type="dxa"/>
            <w:noWrap w:val="0"/>
            <w:vAlign w:val="top"/>
          </w:tcPr>
          <w:p>
            <w:pPr>
              <w:widowControl w:val="0"/>
              <w:bidi w:val="0"/>
              <w:spacing w:line="360" w:lineRule="auto"/>
              <w:jc w:val="both"/>
              <w:rPr>
                <w:rFonts w:ascii="Calibri" w:hAnsi="Calibri"/>
                <w:kern w:val="2"/>
                <w:sz w:val="21"/>
                <w:szCs w:val="22"/>
                <w:lang w:val="en-US" w:eastAsia="zh-CN" w:bidi="ar-SA"/>
              </w:rPr>
            </w:pPr>
            <w:r>
              <w:rPr>
                <w:rFonts w:ascii="Calibri" w:hAnsi="Calibri"/>
                <w:kern w:val="2"/>
                <w:sz w:val="21"/>
                <w:szCs w:val="22"/>
                <w:highlight w:val="white"/>
                <w:lang w:val="en-US" w:eastAsia="zh-CN" w:bidi="ar-SA"/>
              </w:rPr>
              <w:t>招 标 人：</w:t>
            </w:r>
            <w:r>
              <w:rPr>
                <w:rFonts w:hint="eastAsia"/>
                <w:color w:val="0000FF"/>
                <w:kern w:val="2"/>
                <w:sz w:val="21"/>
                <w:szCs w:val="22"/>
                <w:highlight w:val="white"/>
                <w:lang w:val="en-US" w:eastAsia="zh-CN" w:bidi="ar-SA"/>
              </w:rPr>
              <w:t>宿迁市第一人民医院</w:t>
            </w:r>
          </w:p>
        </w:tc>
        <w:tc>
          <w:tcPr>
            <w:tcW w:w="4926" w:type="dxa"/>
            <w:noWrap w:val="0"/>
            <w:vAlign w:val="top"/>
          </w:tcPr>
          <w:p>
            <w:pPr>
              <w:widowControl w:val="0"/>
              <w:bidi w:val="0"/>
              <w:spacing w:line="360" w:lineRule="auto"/>
              <w:jc w:val="both"/>
              <w:rPr>
                <w:rFonts w:ascii="Calibri" w:hAnsi="Calibri"/>
                <w:kern w:val="2"/>
                <w:sz w:val="21"/>
                <w:szCs w:val="22"/>
                <w:lang w:val="en-US" w:eastAsia="zh-CN" w:bidi="ar-SA"/>
              </w:rPr>
            </w:pPr>
            <w:r>
              <w:rPr>
                <w:rFonts w:ascii="Calibri" w:hAnsi="Calibri"/>
                <w:kern w:val="2"/>
                <w:sz w:val="21"/>
                <w:szCs w:val="22"/>
                <w:highlight w:val="white"/>
                <w:lang w:val="en-US" w:eastAsia="zh-CN" w:bidi="ar-SA"/>
              </w:rPr>
              <w:t>招标代理机构：</w:t>
            </w:r>
            <w:r>
              <w:rPr>
                <w:rFonts w:hint="eastAsia"/>
                <w:color w:val="0000FF"/>
                <w:kern w:val="2"/>
                <w:sz w:val="21"/>
                <w:szCs w:val="22"/>
                <w:highlight w:val="white"/>
                <w:lang w:val="en-US" w:eastAsia="zh-CN" w:bidi="ar-SA"/>
              </w:rPr>
              <w:t>江苏正诚建设工程管理有限公司</w:t>
            </w:r>
          </w:p>
        </w:tc>
      </w:tr>
      <w:tr>
        <w:tblPrEx>
          <w:tblCellMar>
            <w:top w:w="0" w:type="dxa"/>
            <w:left w:w="108" w:type="dxa"/>
            <w:bottom w:w="0" w:type="dxa"/>
            <w:right w:w="108" w:type="dxa"/>
          </w:tblCellMar>
        </w:tblPrEx>
        <w:tc>
          <w:tcPr>
            <w:tcW w:w="4077" w:type="dxa"/>
            <w:noWrap w:val="0"/>
            <w:vAlign w:val="top"/>
          </w:tcPr>
          <w:p>
            <w:pPr>
              <w:widowControl w:val="0"/>
              <w:bidi w:val="0"/>
              <w:spacing w:line="360" w:lineRule="auto"/>
              <w:jc w:val="both"/>
              <w:rPr>
                <w:rFonts w:ascii="Calibri" w:hAnsi="Calibri"/>
                <w:kern w:val="2"/>
                <w:sz w:val="21"/>
                <w:szCs w:val="22"/>
                <w:lang w:val="en-US" w:eastAsia="zh-CN" w:bidi="ar-SA"/>
              </w:rPr>
            </w:pPr>
            <w:r>
              <w:rPr>
                <w:rFonts w:ascii="Calibri" w:hAnsi="Calibri"/>
                <w:kern w:val="2"/>
                <w:sz w:val="21"/>
                <w:szCs w:val="22"/>
                <w:highlight w:val="white"/>
                <w:lang w:val="en-US" w:eastAsia="zh-CN" w:bidi="ar-SA"/>
              </w:rPr>
              <w:t>地    址：</w:t>
            </w:r>
            <w:r>
              <w:rPr>
                <w:rFonts w:hint="eastAsia" w:ascii="Calibri" w:hAnsi="Calibri"/>
                <w:color w:val="0000FF"/>
                <w:kern w:val="2"/>
                <w:sz w:val="21"/>
                <w:szCs w:val="22"/>
                <w:highlight w:val="white"/>
                <w:lang w:val="en-US" w:eastAsia="zh-CN" w:bidi="ar-SA"/>
              </w:rPr>
              <w:t>宿迁市宿城区宿支路120号</w:t>
            </w:r>
          </w:p>
        </w:tc>
        <w:tc>
          <w:tcPr>
            <w:tcW w:w="4926" w:type="dxa"/>
            <w:noWrap w:val="0"/>
            <w:vAlign w:val="top"/>
          </w:tcPr>
          <w:p>
            <w:pPr>
              <w:widowControl w:val="0"/>
              <w:bidi w:val="0"/>
              <w:spacing w:line="360" w:lineRule="auto"/>
              <w:jc w:val="both"/>
              <w:rPr>
                <w:rFonts w:hint="default" w:ascii="Calibri" w:hAnsi="Calibri"/>
                <w:kern w:val="2"/>
                <w:sz w:val="21"/>
                <w:szCs w:val="22"/>
                <w:lang w:val="en-US" w:eastAsia="zh-CN" w:bidi="ar-SA"/>
              </w:rPr>
            </w:pPr>
            <w:r>
              <w:rPr>
                <w:rFonts w:ascii="Calibri" w:hAnsi="Calibri"/>
                <w:kern w:val="2"/>
                <w:sz w:val="21"/>
                <w:szCs w:val="22"/>
                <w:highlight w:val="white"/>
                <w:lang w:val="en-US" w:eastAsia="zh-CN" w:bidi="ar-SA"/>
              </w:rPr>
              <w:t>地    址：</w:t>
            </w:r>
            <w:r>
              <w:rPr>
                <w:rFonts w:hint="eastAsia"/>
                <w:color w:val="0000FF"/>
                <w:kern w:val="2"/>
                <w:sz w:val="21"/>
                <w:szCs w:val="22"/>
                <w:highlight w:val="white"/>
                <w:lang w:val="en-US" w:eastAsia="zh-CN" w:bidi="ar-SA"/>
              </w:rPr>
              <w:t>泰和祥府转角商业楼二楼</w:t>
            </w:r>
          </w:p>
        </w:tc>
      </w:tr>
      <w:tr>
        <w:tblPrEx>
          <w:tblCellMar>
            <w:top w:w="0" w:type="dxa"/>
            <w:left w:w="108" w:type="dxa"/>
            <w:bottom w:w="0" w:type="dxa"/>
            <w:right w:w="108" w:type="dxa"/>
          </w:tblCellMar>
        </w:tblPrEx>
        <w:tc>
          <w:tcPr>
            <w:tcW w:w="4077" w:type="dxa"/>
            <w:noWrap w:val="0"/>
            <w:vAlign w:val="top"/>
          </w:tcPr>
          <w:p>
            <w:pPr>
              <w:widowControl w:val="0"/>
              <w:bidi w:val="0"/>
              <w:spacing w:line="360" w:lineRule="auto"/>
              <w:jc w:val="both"/>
              <w:rPr>
                <w:rFonts w:ascii="Calibri" w:hAnsi="Calibri"/>
                <w:kern w:val="2"/>
                <w:sz w:val="21"/>
                <w:szCs w:val="22"/>
                <w:lang w:val="en-US" w:eastAsia="zh-CN" w:bidi="ar-SA"/>
              </w:rPr>
            </w:pPr>
            <w:r>
              <w:rPr>
                <w:rFonts w:ascii="Calibri" w:hAnsi="Calibri"/>
                <w:kern w:val="2"/>
                <w:sz w:val="21"/>
                <w:szCs w:val="22"/>
                <w:highlight w:val="white"/>
                <w:lang w:val="en-US" w:eastAsia="zh-CN" w:bidi="ar-SA"/>
              </w:rPr>
              <w:t>邮    编：</w:t>
            </w:r>
            <w:r>
              <w:rPr>
                <w:rFonts w:hint="eastAsia" w:ascii="Calibri" w:hAnsi="Calibri"/>
                <w:color w:val="0000FF"/>
                <w:kern w:val="2"/>
                <w:sz w:val="21"/>
                <w:szCs w:val="22"/>
                <w:highlight w:val="white"/>
                <w:lang w:val="en-US" w:eastAsia="zh-CN" w:bidi="ar-SA"/>
              </w:rPr>
              <w:t>223800</w:t>
            </w:r>
          </w:p>
        </w:tc>
        <w:tc>
          <w:tcPr>
            <w:tcW w:w="4926" w:type="dxa"/>
            <w:noWrap w:val="0"/>
            <w:vAlign w:val="top"/>
          </w:tcPr>
          <w:p>
            <w:pPr>
              <w:widowControl w:val="0"/>
              <w:bidi w:val="0"/>
              <w:spacing w:line="360" w:lineRule="auto"/>
              <w:jc w:val="both"/>
              <w:rPr>
                <w:rFonts w:ascii="Calibri" w:hAnsi="Calibri"/>
                <w:kern w:val="2"/>
                <w:sz w:val="21"/>
                <w:szCs w:val="22"/>
                <w:lang w:val="en-US" w:eastAsia="zh-CN" w:bidi="ar-SA"/>
              </w:rPr>
            </w:pPr>
            <w:r>
              <w:rPr>
                <w:rFonts w:ascii="Calibri" w:hAnsi="Calibri"/>
                <w:kern w:val="2"/>
                <w:sz w:val="21"/>
                <w:szCs w:val="22"/>
                <w:highlight w:val="white"/>
                <w:lang w:val="en-US" w:eastAsia="zh-CN" w:bidi="ar-SA"/>
              </w:rPr>
              <w:t>邮    编：</w:t>
            </w:r>
            <w:r>
              <w:rPr>
                <w:rFonts w:hint="eastAsia" w:ascii="Calibri" w:hAnsi="Calibri"/>
                <w:color w:val="0000FF"/>
                <w:kern w:val="2"/>
                <w:sz w:val="21"/>
                <w:szCs w:val="22"/>
                <w:highlight w:val="white"/>
                <w:lang w:val="en-US" w:eastAsia="zh-CN" w:bidi="ar-SA"/>
              </w:rPr>
              <w:t>223800</w:t>
            </w:r>
          </w:p>
        </w:tc>
      </w:tr>
      <w:tr>
        <w:tblPrEx>
          <w:tblCellMar>
            <w:top w:w="0" w:type="dxa"/>
            <w:left w:w="108" w:type="dxa"/>
            <w:bottom w:w="0" w:type="dxa"/>
            <w:right w:w="108" w:type="dxa"/>
          </w:tblCellMar>
        </w:tblPrEx>
        <w:tc>
          <w:tcPr>
            <w:tcW w:w="4077" w:type="dxa"/>
            <w:noWrap w:val="0"/>
            <w:vAlign w:val="top"/>
          </w:tcPr>
          <w:p>
            <w:pPr>
              <w:widowControl w:val="0"/>
              <w:bidi w:val="0"/>
              <w:spacing w:line="360" w:lineRule="auto"/>
              <w:jc w:val="both"/>
              <w:rPr>
                <w:rFonts w:ascii="Calibri" w:hAnsi="Calibri"/>
                <w:kern w:val="2"/>
                <w:sz w:val="21"/>
                <w:szCs w:val="22"/>
                <w:lang w:val="en-US" w:eastAsia="zh-CN" w:bidi="ar-SA"/>
              </w:rPr>
            </w:pPr>
            <w:r>
              <w:rPr>
                <w:rFonts w:ascii="Calibri" w:hAnsi="Calibri"/>
                <w:kern w:val="2"/>
                <w:sz w:val="21"/>
                <w:szCs w:val="22"/>
                <w:highlight w:val="white"/>
                <w:lang w:val="en-US" w:eastAsia="zh-CN" w:bidi="ar-SA"/>
              </w:rPr>
              <w:t>联 系 人：</w:t>
            </w:r>
            <w:r>
              <w:rPr>
                <w:rFonts w:hint="eastAsia" w:ascii="Calibri" w:hAnsi="Calibri"/>
                <w:color w:val="0000FF"/>
                <w:kern w:val="2"/>
                <w:sz w:val="21"/>
                <w:szCs w:val="22"/>
                <w:highlight w:val="white"/>
                <w:lang w:val="en-US" w:eastAsia="zh-CN" w:bidi="ar-SA"/>
              </w:rPr>
              <w:t>唐媛媛</w:t>
            </w:r>
            <w:r>
              <w:rPr>
                <w:rFonts w:hint="eastAsia"/>
                <w:color w:val="0000FF"/>
                <w:kern w:val="2"/>
                <w:sz w:val="21"/>
                <w:szCs w:val="22"/>
                <w:highlight w:val="white"/>
                <w:lang w:val="en-US" w:eastAsia="zh-CN" w:bidi="ar-SA"/>
              </w:rPr>
              <w:t xml:space="preserve"> </w:t>
            </w:r>
          </w:p>
        </w:tc>
        <w:tc>
          <w:tcPr>
            <w:tcW w:w="4926" w:type="dxa"/>
            <w:noWrap w:val="0"/>
            <w:vAlign w:val="top"/>
          </w:tcPr>
          <w:p>
            <w:pPr>
              <w:widowControl w:val="0"/>
              <w:bidi w:val="0"/>
              <w:spacing w:line="360" w:lineRule="auto"/>
              <w:jc w:val="both"/>
              <w:rPr>
                <w:rFonts w:ascii="Calibri" w:hAnsi="Calibri"/>
                <w:kern w:val="2"/>
                <w:sz w:val="21"/>
                <w:szCs w:val="22"/>
                <w:lang w:val="en-US" w:eastAsia="zh-CN" w:bidi="ar-SA"/>
              </w:rPr>
            </w:pPr>
            <w:r>
              <w:rPr>
                <w:rFonts w:ascii="Calibri" w:hAnsi="Calibri"/>
                <w:kern w:val="2"/>
                <w:sz w:val="21"/>
                <w:szCs w:val="22"/>
                <w:highlight w:val="white"/>
                <w:lang w:val="en-US" w:eastAsia="zh-CN" w:bidi="ar-SA"/>
              </w:rPr>
              <w:t>联 系 人：</w:t>
            </w:r>
            <w:r>
              <w:rPr>
                <w:rFonts w:hint="eastAsia"/>
                <w:color w:val="0000FF"/>
                <w:kern w:val="2"/>
                <w:sz w:val="21"/>
                <w:szCs w:val="22"/>
                <w:highlight w:val="white"/>
                <w:lang w:val="en-US" w:eastAsia="zh-CN" w:bidi="ar-SA"/>
              </w:rPr>
              <w:t>姜雨辰</w:t>
            </w:r>
          </w:p>
        </w:tc>
      </w:tr>
      <w:tr>
        <w:tblPrEx>
          <w:tblCellMar>
            <w:top w:w="0" w:type="dxa"/>
            <w:left w:w="108" w:type="dxa"/>
            <w:bottom w:w="0" w:type="dxa"/>
            <w:right w:w="108" w:type="dxa"/>
          </w:tblCellMar>
        </w:tblPrEx>
        <w:tc>
          <w:tcPr>
            <w:tcW w:w="4077" w:type="dxa"/>
            <w:noWrap w:val="0"/>
            <w:vAlign w:val="top"/>
          </w:tcPr>
          <w:p>
            <w:pPr>
              <w:widowControl w:val="0"/>
              <w:bidi w:val="0"/>
              <w:spacing w:line="360" w:lineRule="auto"/>
              <w:jc w:val="both"/>
              <w:rPr>
                <w:rFonts w:ascii="Calibri" w:hAnsi="Calibri"/>
                <w:kern w:val="2"/>
                <w:sz w:val="21"/>
                <w:szCs w:val="22"/>
                <w:lang w:val="en-US" w:eastAsia="zh-CN" w:bidi="ar-SA"/>
              </w:rPr>
            </w:pPr>
            <w:r>
              <w:rPr>
                <w:rFonts w:ascii="Calibri" w:hAnsi="Calibri"/>
                <w:kern w:val="2"/>
                <w:sz w:val="21"/>
                <w:szCs w:val="22"/>
                <w:highlight w:val="white"/>
                <w:lang w:val="en-US" w:eastAsia="zh-CN" w:bidi="ar-SA"/>
              </w:rPr>
              <w:t>电    话：</w:t>
            </w:r>
            <w:r>
              <w:rPr>
                <w:rFonts w:hint="eastAsia" w:ascii="Calibri" w:hAnsi="Calibri"/>
                <w:color w:val="0000FF"/>
                <w:kern w:val="2"/>
                <w:sz w:val="21"/>
                <w:szCs w:val="22"/>
                <w:highlight w:val="white"/>
                <w:lang w:val="en-US" w:eastAsia="zh-CN" w:bidi="ar-SA"/>
              </w:rPr>
              <w:t>0527-80528230</w:t>
            </w:r>
          </w:p>
        </w:tc>
        <w:tc>
          <w:tcPr>
            <w:tcW w:w="4926" w:type="dxa"/>
            <w:noWrap w:val="0"/>
            <w:vAlign w:val="top"/>
          </w:tcPr>
          <w:p>
            <w:pPr>
              <w:widowControl w:val="0"/>
              <w:bidi w:val="0"/>
              <w:spacing w:line="360" w:lineRule="auto"/>
              <w:jc w:val="both"/>
              <w:rPr>
                <w:rFonts w:hint="default" w:ascii="Calibri" w:hAnsi="Calibri"/>
                <w:kern w:val="2"/>
                <w:sz w:val="21"/>
                <w:szCs w:val="22"/>
                <w:lang w:val="en-US" w:eastAsia="zh-CN" w:bidi="ar-SA"/>
              </w:rPr>
            </w:pPr>
            <w:r>
              <w:rPr>
                <w:rFonts w:ascii="Calibri" w:hAnsi="Calibri"/>
                <w:kern w:val="2"/>
                <w:sz w:val="21"/>
                <w:szCs w:val="22"/>
                <w:highlight w:val="white"/>
                <w:lang w:val="en-US" w:eastAsia="zh-CN" w:bidi="ar-SA"/>
              </w:rPr>
              <w:t>电    话：</w:t>
            </w:r>
            <w:r>
              <w:rPr>
                <w:rFonts w:hint="eastAsia"/>
                <w:color w:val="0000FF"/>
                <w:kern w:val="2"/>
                <w:sz w:val="21"/>
                <w:szCs w:val="22"/>
                <w:highlight w:val="white"/>
                <w:lang w:val="en-US" w:eastAsia="zh-CN" w:bidi="ar-SA"/>
              </w:rPr>
              <w:t>18851527024</w:t>
            </w:r>
          </w:p>
        </w:tc>
      </w:tr>
      <w:tr>
        <w:tblPrEx>
          <w:tblCellMar>
            <w:top w:w="0" w:type="dxa"/>
            <w:left w:w="108" w:type="dxa"/>
            <w:bottom w:w="0" w:type="dxa"/>
            <w:right w:w="108" w:type="dxa"/>
          </w:tblCellMar>
        </w:tblPrEx>
        <w:tc>
          <w:tcPr>
            <w:tcW w:w="4077" w:type="dxa"/>
            <w:noWrap w:val="0"/>
            <w:vAlign w:val="top"/>
          </w:tcPr>
          <w:p>
            <w:pPr>
              <w:widowControl w:val="0"/>
              <w:bidi w:val="0"/>
              <w:spacing w:line="360" w:lineRule="auto"/>
              <w:jc w:val="both"/>
              <w:rPr>
                <w:rFonts w:ascii="Calibri" w:hAnsi="Calibri"/>
                <w:kern w:val="2"/>
                <w:sz w:val="21"/>
                <w:szCs w:val="22"/>
                <w:lang w:val="en-US" w:eastAsia="zh-CN" w:bidi="ar-SA"/>
              </w:rPr>
            </w:pPr>
            <w:r>
              <w:rPr>
                <w:rFonts w:ascii="Calibri" w:hAnsi="Calibri"/>
                <w:kern w:val="2"/>
                <w:sz w:val="21"/>
                <w:szCs w:val="22"/>
                <w:highlight w:val="white"/>
                <w:lang w:val="en-US" w:eastAsia="zh-CN" w:bidi="ar-SA"/>
              </w:rPr>
              <w:t>电子邮箱：</w:t>
            </w:r>
            <w:r>
              <w:rPr>
                <w:rFonts w:hint="eastAsia" w:ascii="Calibri" w:hAnsi="Calibri"/>
                <w:color w:val="0000FF"/>
                <w:kern w:val="2"/>
                <w:sz w:val="21"/>
                <w:szCs w:val="22"/>
                <w:highlight w:val="white"/>
                <w:lang w:val="en-US" w:eastAsia="zh-CN" w:bidi="ar-SA"/>
              </w:rPr>
              <w:t>/</w:t>
            </w:r>
          </w:p>
        </w:tc>
        <w:tc>
          <w:tcPr>
            <w:tcW w:w="4926" w:type="dxa"/>
            <w:noWrap w:val="0"/>
            <w:vAlign w:val="top"/>
          </w:tcPr>
          <w:p>
            <w:pPr>
              <w:widowControl w:val="0"/>
              <w:bidi w:val="0"/>
              <w:spacing w:line="360" w:lineRule="auto"/>
              <w:jc w:val="both"/>
              <w:rPr>
                <w:rFonts w:ascii="Calibri" w:hAnsi="Calibri"/>
                <w:kern w:val="2"/>
                <w:sz w:val="21"/>
                <w:szCs w:val="22"/>
                <w:lang w:val="en-US" w:eastAsia="zh-CN" w:bidi="ar-SA"/>
              </w:rPr>
            </w:pPr>
            <w:r>
              <w:rPr>
                <w:rFonts w:ascii="Calibri" w:hAnsi="Calibri"/>
                <w:kern w:val="2"/>
                <w:sz w:val="21"/>
                <w:szCs w:val="22"/>
                <w:highlight w:val="white"/>
                <w:lang w:val="en-US" w:eastAsia="zh-CN" w:bidi="ar-SA"/>
              </w:rPr>
              <w:t>电子邮箱：</w:t>
            </w:r>
            <w:r>
              <w:rPr>
                <w:rFonts w:hint="eastAsia" w:ascii="Calibri" w:hAnsi="Calibri"/>
                <w:color w:val="0000FF"/>
                <w:kern w:val="2"/>
                <w:sz w:val="21"/>
                <w:szCs w:val="22"/>
                <w:highlight w:val="white"/>
                <w:lang w:val="en-US" w:eastAsia="zh-CN" w:bidi="ar-SA"/>
              </w:rPr>
              <w:t>/</w:t>
            </w:r>
          </w:p>
        </w:tc>
      </w:tr>
    </w:tbl>
    <w:p>
      <w:pPr>
        <w:wordWrap w:val="0"/>
        <w:bidi w:val="0"/>
        <w:adjustRightInd w:val="0"/>
        <w:snapToGrid w:val="0"/>
        <w:spacing w:line="360" w:lineRule="auto"/>
        <w:ind w:right="420"/>
        <w:rPr>
          <w:u w:val="single"/>
        </w:rPr>
      </w:pPr>
    </w:p>
    <w:p>
      <w:pPr>
        <w:wordWrap w:val="0"/>
        <w:bidi w:val="0"/>
        <w:adjustRightInd w:val="0"/>
        <w:snapToGrid w:val="0"/>
        <w:spacing w:line="360" w:lineRule="auto"/>
        <w:jc w:val="right"/>
        <w:rPr>
          <w:szCs w:val="21"/>
        </w:rPr>
      </w:pPr>
      <w:r>
        <w:rPr>
          <w:rFonts w:hint="eastAsia"/>
          <w:highlight w:val="white"/>
        </w:rPr>
        <w:t>日期：</w:t>
      </w:r>
      <w:r>
        <w:rPr>
          <w:rFonts w:hint="eastAsia"/>
          <w:color w:val="0000FF"/>
          <w:highlight w:val="white"/>
        </w:rPr>
        <w:t>202</w:t>
      </w:r>
      <w:r>
        <w:rPr>
          <w:rFonts w:hint="eastAsia"/>
          <w:color w:val="0000FF"/>
          <w:highlight w:val="white"/>
          <w:lang w:val="en-US" w:eastAsia="zh-CN"/>
        </w:rPr>
        <w:t>4</w:t>
      </w:r>
      <w:r>
        <w:rPr>
          <w:rFonts w:hint="eastAsia"/>
          <w:color w:val="0000FF"/>
          <w:highlight w:val="white"/>
        </w:rPr>
        <w:t>年</w:t>
      </w:r>
      <w:r>
        <w:rPr>
          <w:rFonts w:hint="eastAsia"/>
          <w:color w:val="0000FF"/>
          <w:highlight w:val="white"/>
          <w:lang w:val="en-US" w:eastAsia="zh-CN"/>
        </w:rPr>
        <w:t>04</w:t>
      </w:r>
      <w:r>
        <w:rPr>
          <w:rFonts w:hint="eastAsia"/>
          <w:color w:val="0000FF"/>
          <w:highlight w:val="white"/>
        </w:rPr>
        <w:t>月</w:t>
      </w:r>
      <w:r>
        <w:rPr>
          <w:rFonts w:hint="eastAsia"/>
          <w:color w:val="0000FF"/>
          <w:highlight w:val="white"/>
          <w:lang w:val="en-US" w:eastAsia="zh-CN"/>
        </w:rPr>
        <w:t>23</w:t>
      </w:r>
      <w:r>
        <w:rPr>
          <w:rFonts w:hint="eastAsia"/>
          <w:color w:val="0000FF"/>
          <w:highlight w:val="white"/>
        </w:rPr>
        <w:t>日</w:t>
      </w:r>
      <w:r>
        <w:rPr>
          <w:szCs w:val="21"/>
          <w:highlight w:val="white"/>
        </w:rPr>
        <w:t xml:space="preserve"> </w:t>
      </w:r>
    </w:p>
    <w:p>
      <w:pPr>
        <w:bidi w:val="0"/>
        <w:rPr>
          <w:rFonts w:hint="eastAsia"/>
          <w:highlight w:val="cyan"/>
        </w:rPr>
      </w:pPr>
      <w:r>
        <w:rPr>
          <w:rFonts w:hint="eastAsia"/>
          <w:color w:val="000080"/>
          <w:sz w:val="20"/>
          <w:highlight w:val="white"/>
        </w:rPr>
        <w:t xml:space="preserve"> </w:t>
      </w:r>
    </w:p>
    <w:p>
      <w:pPr>
        <w:pStyle w:val="2"/>
        <w:wordWrap w:val="0"/>
        <w:bidi w:val="0"/>
      </w:pPr>
      <w:r>
        <w:rPr>
          <w:highlight w:val="white"/>
        </w:rPr>
        <w:br w:type="page"/>
      </w:r>
      <w:bookmarkStart w:id="10" w:name="_Toc18071"/>
      <w:r>
        <w:rPr>
          <w:highlight w:val="white"/>
        </w:rPr>
        <w:t>第二章  投标人须知</w:t>
      </w:r>
      <w:bookmarkEnd w:id="10"/>
    </w:p>
    <w:p>
      <w:pPr>
        <w:bidi w:val="0"/>
        <w:rPr>
          <w:highlight w:val="yellow"/>
        </w:rPr>
      </w:pPr>
      <w:r>
        <w:rPr>
          <w:color w:val="000080"/>
          <w:sz w:val="20"/>
          <w:highlight w:val="white"/>
        </w:rPr>
        <w:t xml:space="preserve">  </w:t>
      </w:r>
    </w:p>
    <w:p>
      <w:pPr>
        <w:pStyle w:val="2"/>
        <w:wordWrap w:val="0"/>
        <w:bidi w:val="0"/>
      </w:pPr>
      <w:bookmarkStart w:id="11" w:name="_Toc8579"/>
      <w:r>
        <w:rPr>
          <w:highlight w:val="white"/>
        </w:rPr>
        <w:t>投标人须知前附表</w:t>
      </w:r>
      <w:bookmarkEnd w:id="11"/>
    </w:p>
    <w:tbl>
      <w:tblPr>
        <w:tblStyle w:val="13"/>
        <w:tblW w:w="90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52"/>
        <w:gridCol w:w="1354"/>
        <w:gridCol w:w="606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1652" w:type="dxa"/>
            <w:shd w:val="clear" w:color="auto" w:fill="E6E6E6"/>
            <w:noWrap w:val="0"/>
            <w:vAlign w:val="center"/>
          </w:tcPr>
          <w:p>
            <w:pPr>
              <w:wordWrap w:val="0"/>
              <w:adjustRightInd w:val="0"/>
              <w:snapToGrid w:val="0"/>
              <w:spacing w:line="400" w:lineRule="exact"/>
              <w:jc w:val="center"/>
              <w:rPr>
                <w:b/>
                <w:szCs w:val="21"/>
              </w:rPr>
            </w:pPr>
            <w:r>
              <w:rPr>
                <w:b/>
                <w:szCs w:val="21"/>
                <w:highlight w:val="white"/>
              </w:rPr>
              <w:t>条款号</w:t>
            </w:r>
          </w:p>
        </w:tc>
        <w:tc>
          <w:tcPr>
            <w:tcW w:w="1354" w:type="dxa"/>
            <w:shd w:val="clear" w:color="auto" w:fill="E6E6E6"/>
            <w:noWrap w:val="0"/>
            <w:vAlign w:val="center"/>
          </w:tcPr>
          <w:p>
            <w:pPr>
              <w:wordWrap w:val="0"/>
              <w:adjustRightInd w:val="0"/>
              <w:snapToGrid w:val="0"/>
              <w:spacing w:line="400" w:lineRule="exact"/>
              <w:jc w:val="center"/>
              <w:rPr>
                <w:b/>
                <w:szCs w:val="21"/>
              </w:rPr>
            </w:pPr>
            <w:r>
              <w:rPr>
                <w:b/>
                <w:szCs w:val="21"/>
                <w:highlight w:val="white"/>
              </w:rPr>
              <w:t>条  款  名  称</w:t>
            </w:r>
          </w:p>
        </w:tc>
        <w:tc>
          <w:tcPr>
            <w:tcW w:w="6066" w:type="dxa"/>
            <w:shd w:val="clear" w:color="auto" w:fill="E6E6E6"/>
            <w:noWrap w:val="0"/>
            <w:vAlign w:val="center"/>
          </w:tcPr>
          <w:p>
            <w:pPr>
              <w:wordWrap w:val="0"/>
              <w:adjustRightInd w:val="0"/>
              <w:snapToGrid w:val="0"/>
              <w:spacing w:line="400" w:lineRule="exact"/>
              <w:jc w:val="center"/>
              <w:rPr>
                <w:b/>
                <w:szCs w:val="21"/>
              </w:rPr>
            </w:pPr>
            <w:r>
              <w:rPr>
                <w:b/>
                <w:szCs w:val="21"/>
                <w:highlight w:val="white"/>
              </w:rPr>
              <w:t>编  列  内  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1.1.2</w:t>
            </w:r>
          </w:p>
        </w:tc>
        <w:tc>
          <w:tcPr>
            <w:tcW w:w="1354" w:type="dxa"/>
            <w:noWrap w:val="0"/>
            <w:vAlign w:val="center"/>
          </w:tcPr>
          <w:p>
            <w:pPr>
              <w:wordWrap w:val="0"/>
              <w:adjustRightInd w:val="0"/>
              <w:snapToGrid w:val="0"/>
              <w:spacing w:line="400" w:lineRule="exact"/>
              <w:rPr>
                <w:szCs w:val="21"/>
              </w:rPr>
            </w:pPr>
            <w:r>
              <w:rPr>
                <w:szCs w:val="21"/>
                <w:highlight w:val="white"/>
              </w:rPr>
              <w:t>招标人</w:t>
            </w:r>
          </w:p>
        </w:tc>
        <w:tc>
          <w:tcPr>
            <w:tcW w:w="6066" w:type="dxa"/>
            <w:noWrap w:val="0"/>
            <w:vAlign w:val="center"/>
          </w:tcPr>
          <w:p>
            <w:pPr>
              <w:wordWrap w:val="0"/>
              <w:adjustRightInd w:val="0"/>
              <w:snapToGrid w:val="0"/>
              <w:spacing w:line="400" w:lineRule="exact"/>
              <w:rPr>
                <w:rFonts w:hint="eastAsia" w:eastAsia="宋体"/>
                <w:szCs w:val="21"/>
                <w:lang w:eastAsia="zh-CN"/>
              </w:rPr>
            </w:pPr>
            <w:r>
              <w:rPr>
                <w:szCs w:val="21"/>
                <w:highlight w:val="white"/>
              </w:rPr>
              <w:t>名称：</w:t>
            </w:r>
            <w:r>
              <w:rPr>
                <w:rFonts w:hint="eastAsia"/>
                <w:color w:val="0000FF"/>
                <w:szCs w:val="21"/>
                <w:highlight w:val="white"/>
                <w:lang w:eastAsia="zh-CN"/>
              </w:rPr>
              <w:t>宿迁市第一人民医院</w:t>
            </w:r>
          </w:p>
          <w:p>
            <w:pPr>
              <w:wordWrap w:val="0"/>
              <w:adjustRightInd w:val="0"/>
              <w:snapToGrid w:val="0"/>
              <w:spacing w:line="400" w:lineRule="exact"/>
              <w:rPr>
                <w:szCs w:val="21"/>
              </w:rPr>
            </w:pPr>
            <w:r>
              <w:rPr>
                <w:szCs w:val="21"/>
                <w:highlight w:val="white"/>
              </w:rPr>
              <w:t>地址：</w:t>
            </w:r>
            <w:r>
              <w:rPr>
                <w:rFonts w:hint="eastAsia"/>
                <w:color w:val="0000FF"/>
                <w:szCs w:val="21"/>
                <w:highlight w:val="white"/>
              </w:rPr>
              <w:t>宿迁市宿城区宿支路120号</w:t>
            </w:r>
            <w:r>
              <w:rPr>
                <w:color w:val="0000FF"/>
                <w:szCs w:val="21"/>
                <w:highlight w:val="white"/>
              </w:rPr>
              <w:t xml:space="preserve"> </w:t>
            </w:r>
          </w:p>
          <w:p>
            <w:pPr>
              <w:wordWrap w:val="0"/>
              <w:adjustRightInd w:val="0"/>
              <w:snapToGrid w:val="0"/>
              <w:spacing w:line="400" w:lineRule="exact"/>
              <w:rPr>
                <w:rFonts w:hint="eastAsia" w:eastAsia="宋体"/>
                <w:szCs w:val="21"/>
                <w:lang w:eastAsia="zh-CN"/>
              </w:rPr>
            </w:pPr>
            <w:r>
              <w:rPr>
                <w:szCs w:val="21"/>
                <w:highlight w:val="white"/>
              </w:rPr>
              <w:t>联系人：</w:t>
            </w:r>
            <w:r>
              <w:rPr>
                <w:rFonts w:hint="eastAsia"/>
                <w:color w:val="0000FF"/>
                <w:szCs w:val="21"/>
                <w:highlight w:val="white"/>
                <w:lang w:eastAsia="zh-CN"/>
              </w:rPr>
              <w:t xml:space="preserve">唐媛媛 </w:t>
            </w:r>
          </w:p>
          <w:p>
            <w:pPr>
              <w:wordWrap w:val="0"/>
              <w:adjustRightInd w:val="0"/>
              <w:snapToGrid w:val="0"/>
              <w:spacing w:line="400" w:lineRule="exact"/>
              <w:rPr>
                <w:rFonts w:hint="eastAsia" w:eastAsia="宋体"/>
                <w:szCs w:val="21"/>
                <w:lang w:eastAsia="zh-CN"/>
              </w:rPr>
            </w:pPr>
            <w:r>
              <w:rPr>
                <w:szCs w:val="21"/>
                <w:highlight w:val="white"/>
              </w:rPr>
              <w:t>电话：</w:t>
            </w:r>
            <w:r>
              <w:rPr>
                <w:rFonts w:hint="eastAsia"/>
                <w:color w:val="0000FF"/>
                <w:szCs w:val="21"/>
                <w:highlight w:val="white"/>
                <w:lang w:eastAsia="zh-CN"/>
              </w:rPr>
              <w:t>0527-80528230</w:t>
            </w:r>
          </w:p>
          <w:p>
            <w:pPr>
              <w:wordWrap w:val="0"/>
              <w:adjustRightInd w:val="0"/>
              <w:snapToGrid w:val="0"/>
              <w:spacing w:line="400" w:lineRule="exact"/>
              <w:rPr>
                <w:szCs w:val="21"/>
              </w:rPr>
            </w:pPr>
            <w:r>
              <w:rPr>
                <w:szCs w:val="21"/>
                <w:highlight w:val="white"/>
              </w:rPr>
              <w:t>电子邮箱：</w:t>
            </w:r>
            <w:r>
              <w:rPr>
                <w:rFonts w:hint="eastAsia"/>
                <w:color w:val="0000FF"/>
                <w:szCs w:val="21"/>
                <w:highlight w:val="whit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1.1.3</w:t>
            </w:r>
          </w:p>
        </w:tc>
        <w:tc>
          <w:tcPr>
            <w:tcW w:w="1354" w:type="dxa"/>
            <w:noWrap w:val="0"/>
            <w:vAlign w:val="center"/>
          </w:tcPr>
          <w:p>
            <w:pPr>
              <w:wordWrap w:val="0"/>
              <w:adjustRightInd w:val="0"/>
              <w:snapToGrid w:val="0"/>
              <w:spacing w:line="400" w:lineRule="exact"/>
              <w:rPr>
                <w:szCs w:val="21"/>
              </w:rPr>
            </w:pPr>
            <w:r>
              <w:rPr>
                <w:szCs w:val="21"/>
                <w:highlight w:val="white"/>
              </w:rPr>
              <w:t>招标代理机构</w:t>
            </w:r>
          </w:p>
        </w:tc>
        <w:tc>
          <w:tcPr>
            <w:tcW w:w="6066" w:type="dxa"/>
            <w:noWrap w:val="0"/>
            <w:vAlign w:val="center"/>
          </w:tcPr>
          <w:p>
            <w:pPr>
              <w:wordWrap w:val="0"/>
              <w:adjustRightInd w:val="0"/>
              <w:snapToGrid w:val="0"/>
              <w:spacing w:line="400" w:lineRule="exact"/>
              <w:rPr>
                <w:rFonts w:hint="eastAsia" w:eastAsia="宋体"/>
                <w:szCs w:val="21"/>
                <w:lang w:eastAsia="zh-CN"/>
              </w:rPr>
            </w:pPr>
            <w:r>
              <w:rPr>
                <w:szCs w:val="21"/>
                <w:highlight w:val="white"/>
              </w:rPr>
              <w:t>名称：</w:t>
            </w:r>
            <w:r>
              <w:rPr>
                <w:rFonts w:hint="eastAsia"/>
                <w:color w:val="0000FF"/>
                <w:szCs w:val="21"/>
                <w:highlight w:val="white"/>
                <w:lang w:eastAsia="zh-CN"/>
              </w:rPr>
              <w:t>江苏正诚建设工程管理有限公司</w:t>
            </w:r>
          </w:p>
          <w:p>
            <w:pPr>
              <w:wordWrap w:val="0"/>
              <w:adjustRightInd w:val="0"/>
              <w:snapToGrid w:val="0"/>
              <w:spacing w:line="400" w:lineRule="exact"/>
              <w:rPr>
                <w:rFonts w:hint="default" w:eastAsia="宋体"/>
                <w:szCs w:val="21"/>
                <w:lang w:val="en-US" w:eastAsia="zh-CN"/>
              </w:rPr>
            </w:pPr>
            <w:r>
              <w:rPr>
                <w:szCs w:val="21"/>
                <w:highlight w:val="white"/>
              </w:rPr>
              <w:t>地址：</w:t>
            </w:r>
            <w:r>
              <w:rPr>
                <w:rFonts w:hint="eastAsia"/>
                <w:color w:val="0000FF"/>
                <w:szCs w:val="21"/>
                <w:highlight w:val="white"/>
                <w:lang w:eastAsia="zh-CN"/>
              </w:rPr>
              <w:t>泰和祥府转角商业楼二楼</w:t>
            </w:r>
          </w:p>
          <w:p>
            <w:pPr>
              <w:wordWrap w:val="0"/>
              <w:adjustRightInd w:val="0"/>
              <w:snapToGrid w:val="0"/>
              <w:spacing w:line="400" w:lineRule="exact"/>
              <w:rPr>
                <w:rFonts w:hint="eastAsia" w:eastAsia="宋体"/>
                <w:szCs w:val="21"/>
                <w:lang w:eastAsia="zh-CN"/>
              </w:rPr>
            </w:pPr>
            <w:r>
              <w:rPr>
                <w:szCs w:val="21"/>
                <w:highlight w:val="white"/>
              </w:rPr>
              <w:t>联系人：</w:t>
            </w:r>
            <w:r>
              <w:rPr>
                <w:rFonts w:hint="eastAsia"/>
                <w:color w:val="0000FF"/>
                <w:szCs w:val="21"/>
                <w:highlight w:val="white"/>
                <w:lang w:eastAsia="zh-CN"/>
              </w:rPr>
              <w:t>姜雨辰</w:t>
            </w:r>
          </w:p>
          <w:p>
            <w:pPr>
              <w:wordWrap w:val="0"/>
              <w:adjustRightInd w:val="0"/>
              <w:snapToGrid w:val="0"/>
              <w:spacing w:line="400" w:lineRule="exact"/>
              <w:rPr>
                <w:rFonts w:hint="default" w:eastAsia="宋体"/>
                <w:szCs w:val="21"/>
                <w:lang w:val="en-US" w:eastAsia="zh-CN"/>
              </w:rPr>
            </w:pPr>
            <w:r>
              <w:rPr>
                <w:szCs w:val="21"/>
                <w:highlight w:val="white"/>
              </w:rPr>
              <w:t>电话：</w:t>
            </w:r>
            <w:r>
              <w:rPr>
                <w:rFonts w:hint="eastAsia"/>
                <w:color w:val="0000FF"/>
                <w:szCs w:val="21"/>
                <w:highlight w:val="white"/>
                <w:lang w:val="en-US" w:eastAsia="zh-CN"/>
              </w:rPr>
              <w:t>18851527024</w:t>
            </w:r>
          </w:p>
          <w:p>
            <w:pPr>
              <w:wordWrap w:val="0"/>
              <w:adjustRightInd w:val="0"/>
              <w:snapToGrid w:val="0"/>
              <w:spacing w:line="400" w:lineRule="exact"/>
              <w:rPr>
                <w:szCs w:val="21"/>
              </w:rPr>
            </w:pPr>
            <w:r>
              <w:rPr>
                <w:szCs w:val="21"/>
                <w:highlight w:val="white"/>
              </w:rPr>
              <w:t>电子邮箱：</w:t>
            </w:r>
            <w:r>
              <w:rPr>
                <w:rFonts w:hint="eastAsia"/>
                <w:color w:val="0000FF"/>
                <w:szCs w:val="21"/>
                <w:highlight w:val="whit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1.1.4</w:t>
            </w:r>
          </w:p>
        </w:tc>
        <w:tc>
          <w:tcPr>
            <w:tcW w:w="1354" w:type="dxa"/>
            <w:noWrap w:val="0"/>
            <w:vAlign w:val="center"/>
          </w:tcPr>
          <w:p>
            <w:pPr>
              <w:wordWrap w:val="0"/>
              <w:adjustRightInd w:val="0"/>
              <w:snapToGrid w:val="0"/>
              <w:spacing w:line="400" w:lineRule="exact"/>
              <w:rPr>
                <w:szCs w:val="21"/>
              </w:rPr>
            </w:pPr>
            <w:r>
              <w:rPr>
                <w:szCs w:val="21"/>
                <w:highlight w:val="white"/>
              </w:rPr>
              <w:t>招标项目及标段名称</w:t>
            </w:r>
          </w:p>
        </w:tc>
        <w:tc>
          <w:tcPr>
            <w:tcW w:w="6066" w:type="dxa"/>
            <w:noWrap w:val="0"/>
            <w:vAlign w:val="center"/>
          </w:tcPr>
          <w:p>
            <w:pPr>
              <w:wordWrap w:val="0"/>
              <w:adjustRightInd w:val="0"/>
              <w:snapToGrid w:val="0"/>
              <w:spacing w:line="400" w:lineRule="exact"/>
              <w:rPr>
                <w:rFonts w:hint="eastAsia" w:eastAsia="宋体"/>
                <w:szCs w:val="21"/>
                <w:highlight w:val="green"/>
                <w:lang w:eastAsia="zh-CN"/>
              </w:rPr>
            </w:pPr>
            <w:r>
              <w:rPr>
                <w:rFonts w:hint="eastAsia"/>
                <w:color w:val="0000FF"/>
                <w:szCs w:val="21"/>
                <w:highlight w:val="white"/>
                <w:lang w:eastAsia="zh-CN"/>
              </w:rPr>
              <w:t>宿迁市第一人民医院综合楼大厅干挂壁瓷砖改造及感染楼干挂壁瓷砖加固工程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1.1.5</w:t>
            </w:r>
          </w:p>
        </w:tc>
        <w:tc>
          <w:tcPr>
            <w:tcW w:w="1354" w:type="dxa"/>
            <w:noWrap w:val="0"/>
            <w:vAlign w:val="center"/>
          </w:tcPr>
          <w:p>
            <w:pPr>
              <w:wordWrap w:val="0"/>
              <w:adjustRightInd w:val="0"/>
              <w:snapToGrid w:val="0"/>
              <w:spacing w:line="400" w:lineRule="exact"/>
              <w:rPr>
                <w:szCs w:val="21"/>
              </w:rPr>
            </w:pPr>
            <w:r>
              <w:rPr>
                <w:szCs w:val="21"/>
                <w:highlight w:val="white"/>
              </w:rPr>
              <w:t>建设地点</w:t>
            </w:r>
          </w:p>
        </w:tc>
        <w:tc>
          <w:tcPr>
            <w:tcW w:w="6066" w:type="dxa"/>
            <w:noWrap w:val="0"/>
            <w:vAlign w:val="center"/>
          </w:tcPr>
          <w:p>
            <w:pPr>
              <w:wordWrap w:val="0"/>
              <w:adjustRightInd w:val="0"/>
              <w:snapToGrid w:val="0"/>
              <w:spacing w:line="400" w:lineRule="exact"/>
              <w:rPr>
                <w:rFonts w:hint="default" w:eastAsia="宋体"/>
                <w:szCs w:val="21"/>
                <w:highlight w:val="green"/>
                <w:lang w:val="en-US" w:eastAsia="zh-CN"/>
              </w:rPr>
            </w:pPr>
            <w:r>
              <w:rPr>
                <w:rFonts w:hint="eastAsia"/>
                <w:color w:val="0000FF"/>
                <w:szCs w:val="21"/>
                <w:highlight w:val="white"/>
                <w:lang w:val="en-US" w:eastAsia="zh-CN"/>
              </w:rPr>
              <w:t>宿迁市第一人民医院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1.2.1</w:t>
            </w:r>
          </w:p>
        </w:tc>
        <w:tc>
          <w:tcPr>
            <w:tcW w:w="1354" w:type="dxa"/>
            <w:noWrap w:val="0"/>
            <w:vAlign w:val="center"/>
          </w:tcPr>
          <w:p>
            <w:pPr>
              <w:wordWrap w:val="0"/>
              <w:adjustRightInd w:val="0"/>
              <w:snapToGrid w:val="0"/>
              <w:spacing w:line="400" w:lineRule="exact"/>
              <w:rPr>
                <w:szCs w:val="21"/>
              </w:rPr>
            </w:pPr>
            <w:r>
              <w:rPr>
                <w:szCs w:val="21"/>
                <w:highlight w:val="white"/>
              </w:rPr>
              <w:t>资金来源</w:t>
            </w:r>
          </w:p>
        </w:tc>
        <w:tc>
          <w:tcPr>
            <w:tcW w:w="6066" w:type="dxa"/>
            <w:noWrap w:val="0"/>
            <w:vAlign w:val="center"/>
          </w:tcPr>
          <w:p>
            <w:pPr>
              <w:wordWrap w:val="0"/>
              <w:adjustRightInd w:val="0"/>
              <w:snapToGrid w:val="0"/>
              <w:spacing w:line="400" w:lineRule="exact"/>
              <w:rPr>
                <w:szCs w:val="21"/>
                <w:highlight w:val="green"/>
              </w:rPr>
            </w:pPr>
            <w:r>
              <w:rPr>
                <w:rFonts w:hint="eastAsia"/>
                <w:color w:val="0000FF"/>
                <w:szCs w:val="21"/>
                <w:highlight w:val="white"/>
                <w:lang w:val="en-US" w:eastAsia="zh-CN"/>
              </w:rPr>
              <w:t>自筹</w:t>
            </w:r>
            <w:r>
              <w:rPr>
                <w:rFonts w:hint="eastAsia"/>
                <w:color w:val="0000FF"/>
                <w:szCs w:val="21"/>
                <w:highlight w:val="white"/>
              </w:rPr>
              <w:t>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1.2.2</w:t>
            </w:r>
          </w:p>
        </w:tc>
        <w:tc>
          <w:tcPr>
            <w:tcW w:w="1354" w:type="dxa"/>
            <w:noWrap w:val="0"/>
            <w:vAlign w:val="center"/>
          </w:tcPr>
          <w:p>
            <w:pPr>
              <w:wordWrap w:val="0"/>
              <w:adjustRightInd w:val="0"/>
              <w:snapToGrid w:val="0"/>
              <w:spacing w:line="400" w:lineRule="exact"/>
              <w:rPr>
                <w:szCs w:val="21"/>
              </w:rPr>
            </w:pPr>
            <w:r>
              <w:rPr>
                <w:szCs w:val="21"/>
                <w:highlight w:val="white"/>
              </w:rPr>
              <w:t>出资比例</w:t>
            </w:r>
          </w:p>
        </w:tc>
        <w:tc>
          <w:tcPr>
            <w:tcW w:w="6066" w:type="dxa"/>
            <w:noWrap w:val="0"/>
            <w:vAlign w:val="center"/>
          </w:tcPr>
          <w:p>
            <w:pPr>
              <w:wordWrap w:val="0"/>
              <w:adjustRightInd w:val="0"/>
              <w:snapToGrid w:val="0"/>
              <w:spacing w:line="400" w:lineRule="exact"/>
              <w:rPr>
                <w:szCs w:val="21"/>
                <w:highlight w:val="green"/>
              </w:rPr>
            </w:pPr>
            <w:r>
              <w:rPr>
                <w:rFonts w:hint="eastAsia"/>
                <w:color w:val="0000FF"/>
                <w:szCs w:val="21"/>
                <w:highlight w:val="white"/>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1.2.3</w:t>
            </w:r>
          </w:p>
        </w:tc>
        <w:tc>
          <w:tcPr>
            <w:tcW w:w="1354" w:type="dxa"/>
            <w:noWrap w:val="0"/>
            <w:vAlign w:val="center"/>
          </w:tcPr>
          <w:p>
            <w:pPr>
              <w:wordWrap w:val="0"/>
              <w:adjustRightInd w:val="0"/>
              <w:snapToGrid w:val="0"/>
              <w:spacing w:line="400" w:lineRule="exact"/>
              <w:rPr>
                <w:szCs w:val="21"/>
              </w:rPr>
            </w:pPr>
            <w:r>
              <w:rPr>
                <w:szCs w:val="21"/>
                <w:highlight w:val="white"/>
              </w:rPr>
              <w:t>资金落实情况</w:t>
            </w:r>
          </w:p>
        </w:tc>
        <w:tc>
          <w:tcPr>
            <w:tcW w:w="6066" w:type="dxa"/>
            <w:noWrap w:val="0"/>
            <w:vAlign w:val="center"/>
          </w:tcPr>
          <w:p>
            <w:pPr>
              <w:wordWrap w:val="0"/>
              <w:adjustRightInd w:val="0"/>
              <w:snapToGrid w:val="0"/>
              <w:spacing w:line="400" w:lineRule="exact"/>
              <w:rPr>
                <w:szCs w:val="21"/>
                <w:highlight w:val="green"/>
              </w:rPr>
            </w:pPr>
            <w:r>
              <w:rPr>
                <w:rFonts w:hint="eastAsia"/>
                <w:color w:val="0000FF"/>
                <w:szCs w:val="21"/>
                <w:highlight w:val="white"/>
              </w:rPr>
              <w:t>已落实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1.2.4</w:t>
            </w:r>
          </w:p>
        </w:tc>
        <w:tc>
          <w:tcPr>
            <w:tcW w:w="1354" w:type="dxa"/>
            <w:noWrap w:val="0"/>
            <w:vAlign w:val="center"/>
          </w:tcPr>
          <w:p>
            <w:pPr>
              <w:wordWrap w:val="0"/>
              <w:adjustRightInd w:val="0"/>
              <w:snapToGrid w:val="0"/>
              <w:spacing w:line="400" w:lineRule="exact"/>
              <w:rPr>
                <w:szCs w:val="21"/>
              </w:rPr>
            </w:pPr>
            <w:r>
              <w:rPr>
                <w:szCs w:val="21"/>
                <w:highlight w:val="white"/>
              </w:rPr>
              <w:t>工程款支付方式</w:t>
            </w:r>
          </w:p>
        </w:tc>
        <w:tc>
          <w:tcPr>
            <w:tcW w:w="6066" w:type="dxa"/>
            <w:noWrap w:val="0"/>
            <w:vAlign w:val="center"/>
          </w:tcPr>
          <w:p>
            <w:pPr>
              <w:wordWrap w:val="0"/>
              <w:adjustRightInd w:val="0"/>
              <w:snapToGrid w:val="0"/>
              <w:spacing w:line="400" w:lineRule="exact"/>
              <w:rPr>
                <w:szCs w:val="21"/>
                <w:highlight w:val="green"/>
              </w:rPr>
            </w:pPr>
            <w:r>
              <w:rPr>
                <w:rFonts w:hint="eastAsia"/>
                <w:color w:val="0000FF"/>
                <w:szCs w:val="21"/>
                <w:highlight w:val="white"/>
                <w:lang w:eastAsia="zh-CN"/>
              </w:rPr>
              <w:t>工程竣工验收合格后付至</w:t>
            </w:r>
            <w:r>
              <w:rPr>
                <w:rFonts w:hint="eastAsia"/>
                <w:color w:val="0000FF"/>
                <w:szCs w:val="21"/>
                <w:highlight w:val="white"/>
                <w:lang w:val="en-US" w:eastAsia="zh-CN"/>
              </w:rPr>
              <w:t>合同价款的</w:t>
            </w:r>
            <w:r>
              <w:rPr>
                <w:rFonts w:hint="eastAsia"/>
                <w:color w:val="0000FF"/>
                <w:szCs w:val="21"/>
                <w:highlight w:val="white"/>
                <w:lang w:eastAsia="zh-CN"/>
              </w:rPr>
              <w:t>70%，工程审计完成后付至审计价款的97%，待满质保期3年后无任何问题一次性付清余款。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1.3.1</w:t>
            </w:r>
          </w:p>
        </w:tc>
        <w:tc>
          <w:tcPr>
            <w:tcW w:w="1354" w:type="dxa"/>
            <w:noWrap w:val="0"/>
            <w:vAlign w:val="center"/>
          </w:tcPr>
          <w:p>
            <w:pPr>
              <w:wordWrap w:val="0"/>
              <w:adjustRightInd w:val="0"/>
              <w:snapToGrid w:val="0"/>
              <w:spacing w:line="400" w:lineRule="exact"/>
              <w:rPr>
                <w:szCs w:val="21"/>
              </w:rPr>
            </w:pPr>
            <w:r>
              <w:rPr>
                <w:szCs w:val="21"/>
                <w:highlight w:val="white"/>
              </w:rPr>
              <w:t>招标范围</w:t>
            </w:r>
          </w:p>
        </w:tc>
        <w:tc>
          <w:tcPr>
            <w:tcW w:w="6066" w:type="dxa"/>
            <w:noWrap w:val="0"/>
            <w:vAlign w:val="center"/>
          </w:tcPr>
          <w:p>
            <w:pPr>
              <w:spacing w:line="360" w:lineRule="auto"/>
              <w:rPr>
                <w:rFonts w:hint="eastAsia" w:ascii="宋体" w:hAnsi="宋体"/>
                <w:szCs w:val="21"/>
              </w:rPr>
            </w:pPr>
            <w:r>
              <w:rPr>
                <w:rFonts w:hint="eastAsia" w:ascii="宋体" w:hAnsi="宋体"/>
                <w:szCs w:val="21"/>
                <w:highlight w:val="white"/>
              </w:rPr>
              <w:t>本次招标分为</w:t>
            </w:r>
            <w:r>
              <w:rPr>
                <w:rFonts w:hint="eastAsia" w:ascii="宋体" w:hAnsi="宋体"/>
                <w:color w:val="0000FF"/>
                <w:szCs w:val="21"/>
                <w:highlight w:val="white"/>
              </w:rPr>
              <w:t>1</w:t>
            </w:r>
            <w:r>
              <w:rPr>
                <w:rFonts w:hint="eastAsia" w:ascii="宋体" w:hAnsi="宋体"/>
                <w:szCs w:val="21"/>
                <w:highlight w:val="white"/>
              </w:rPr>
              <w:t>个标段：标段划分及招标内容：</w:t>
            </w:r>
          </w:p>
          <w:p>
            <w:pPr>
              <w:wordWrap w:val="0"/>
              <w:adjustRightInd w:val="0"/>
              <w:snapToGrid w:val="0"/>
              <w:spacing w:line="400" w:lineRule="exact"/>
              <w:rPr>
                <w:szCs w:val="21"/>
                <w:highlight w:val="green"/>
              </w:rPr>
            </w:pPr>
            <w:r>
              <w:rPr>
                <w:rFonts w:hint="eastAsia"/>
                <w:color w:val="0000FF"/>
                <w:szCs w:val="21"/>
                <w:highlight w:val="white"/>
                <w:lang w:eastAsia="zh-CN"/>
              </w:rPr>
              <w:t>宿迁市第一人民医院综合楼大厅干挂壁瓷砖改造及感染楼干挂壁瓷砖加固工程</w:t>
            </w:r>
            <w:r>
              <w:rPr>
                <w:rFonts w:hint="eastAsia"/>
                <w:color w:val="0000FF"/>
                <w:szCs w:val="21"/>
                <w:highlight w:val="white"/>
              </w:rPr>
              <w:t>,详见工程量清单内容。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1.3.2</w:t>
            </w:r>
          </w:p>
        </w:tc>
        <w:tc>
          <w:tcPr>
            <w:tcW w:w="1354" w:type="dxa"/>
            <w:noWrap w:val="0"/>
            <w:vAlign w:val="center"/>
          </w:tcPr>
          <w:p>
            <w:pPr>
              <w:wordWrap w:val="0"/>
              <w:adjustRightInd w:val="0"/>
              <w:snapToGrid w:val="0"/>
              <w:spacing w:line="400" w:lineRule="exact"/>
              <w:rPr>
                <w:szCs w:val="21"/>
              </w:rPr>
            </w:pPr>
            <w:r>
              <w:rPr>
                <w:szCs w:val="21"/>
                <w:highlight w:val="white"/>
              </w:rPr>
              <w:t>要求工期</w:t>
            </w:r>
          </w:p>
        </w:tc>
        <w:tc>
          <w:tcPr>
            <w:tcW w:w="6066" w:type="dxa"/>
            <w:noWrap w:val="0"/>
            <w:vAlign w:val="top"/>
          </w:tcPr>
          <w:p>
            <w:pPr>
              <w:wordWrap w:val="0"/>
              <w:adjustRightInd w:val="0"/>
              <w:snapToGrid w:val="0"/>
              <w:spacing w:line="400" w:lineRule="exact"/>
              <w:rPr>
                <w:szCs w:val="21"/>
              </w:rPr>
            </w:pPr>
            <w:r>
              <w:rPr>
                <w:szCs w:val="21"/>
                <w:highlight w:val="white"/>
              </w:rPr>
              <w:t>要求工期：</w:t>
            </w:r>
            <w:r>
              <w:rPr>
                <w:rFonts w:hint="eastAsia"/>
                <w:color w:val="0000FF"/>
                <w:szCs w:val="21"/>
                <w:highlight w:val="white"/>
                <w:lang w:val="en-US" w:eastAsia="zh-CN"/>
              </w:rPr>
              <w:t>60</w:t>
            </w:r>
            <w:r>
              <w:rPr>
                <w:szCs w:val="21"/>
                <w:highlight w:val="white"/>
              </w:rPr>
              <w:t>日历天</w:t>
            </w:r>
          </w:p>
          <w:p>
            <w:pPr>
              <w:wordWrap w:val="0"/>
              <w:adjustRightInd w:val="0"/>
              <w:snapToGrid w:val="0"/>
              <w:spacing w:line="400" w:lineRule="exact"/>
              <w:rPr>
                <w:szCs w:val="21"/>
              </w:rPr>
            </w:pPr>
            <w:r>
              <w:rPr>
                <w:szCs w:val="21"/>
                <w:highlight w:val="white"/>
              </w:rPr>
              <w:t xml:space="preserve">计划开工日期： </w:t>
            </w:r>
          </w:p>
          <w:p>
            <w:pPr>
              <w:wordWrap w:val="0"/>
              <w:adjustRightInd w:val="0"/>
              <w:snapToGrid w:val="0"/>
              <w:spacing w:line="400" w:lineRule="exact"/>
              <w:rPr>
                <w:szCs w:val="21"/>
              </w:rPr>
            </w:pPr>
            <w:r>
              <w:rPr>
                <w:szCs w:val="21"/>
                <w:highlight w:val="white"/>
              </w:rPr>
              <w:t xml:space="preserve">计划竣工日期： </w:t>
            </w:r>
          </w:p>
          <w:p>
            <w:pPr>
              <w:wordWrap w:val="0"/>
              <w:adjustRightInd w:val="0"/>
              <w:snapToGrid w:val="0"/>
              <w:spacing w:line="400" w:lineRule="exact"/>
              <w:rPr>
                <w:szCs w:val="21"/>
              </w:rPr>
            </w:pPr>
            <w:r>
              <w:rPr>
                <w:szCs w:val="21"/>
                <w:highlight w:val="white"/>
              </w:rPr>
              <w:t>除上述总工期外，发包人还要求以下节点工期（如有）：</w:t>
            </w:r>
          </w:p>
          <w:p>
            <w:pPr>
              <w:wordWrap w:val="0"/>
              <w:adjustRightInd w:val="0"/>
              <w:snapToGrid w:val="0"/>
              <w:spacing w:line="400" w:lineRule="exact"/>
              <w:rPr>
                <w:rFonts w:hint="eastAsia"/>
                <w:szCs w:val="21"/>
                <w:highlight w:val="green"/>
                <w:u w:val="single"/>
              </w:rPr>
            </w:pPr>
            <w:r>
              <w:rPr>
                <w:rFonts w:hint="eastAsia"/>
                <w:szCs w:val="21"/>
                <w:highlight w:val="white"/>
              </w:rPr>
              <w:t xml:space="preserve"> </w:t>
            </w:r>
            <w:r>
              <w:rPr>
                <w:rFonts w:hint="eastAsia"/>
                <w:color w:val="0000FF"/>
                <w:szCs w:val="21"/>
                <w:highlight w:val="whit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top"/>
          </w:tcPr>
          <w:p>
            <w:pPr>
              <w:wordWrap w:val="0"/>
              <w:adjustRightInd w:val="0"/>
              <w:snapToGrid w:val="0"/>
              <w:spacing w:line="400" w:lineRule="exact"/>
              <w:jc w:val="center"/>
              <w:rPr>
                <w:szCs w:val="21"/>
              </w:rPr>
            </w:pPr>
            <w:r>
              <w:rPr>
                <w:szCs w:val="21"/>
                <w:highlight w:val="white"/>
              </w:rPr>
              <w:t>1.3.3</w:t>
            </w:r>
          </w:p>
        </w:tc>
        <w:tc>
          <w:tcPr>
            <w:tcW w:w="1354" w:type="dxa"/>
            <w:noWrap w:val="0"/>
            <w:vAlign w:val="top"/>
          </w:tcPr>
          <w:p>
            <w:pPr>
              <w:wordWrap w:val="0"/>
              <w:adjustRightInd w:val="0"/>
              <w:snapToGrid w:val="0"/>
              <w:spacing w:line="400" w:lineRule="exact"/>
              <w:rPr>
                <w:szCs w:val="21"/>
              </w:rPr>
            </w:pPr>
            <w:r>
              <w:rPr>
                <w:szCs w:val="21"/>
                <w:highlight w:val="white"/>
              </w:rPr>
              <w:t>质量要求</w:t>
            </w:r>
          </w:p>
        </w:tc>
        <w:tc>
          <w:tcPr>
            <w:tcW w:w="6066" w:type="dxa"/>
            <w:noWrap w:val="0"/>
            <w:vAlign w:val="top"/>
          </w:tcPr>
          <w:p>
            <w:pPr>
              <w:wordWrap w:val="0"/>
              <w:adjustRightInd w:val="0"/>
              <w:snapToGrid w:val="0"/>
              <w:spacing w:line="400" w:lineRule="exact"/>
              <w:rPr>
                <w:szCs w:val="21"/>
              </w:rPr>
            </w:pPr>
            <w:r>
              <w:rPr>
                <w:szCs w:val="21"/>
                <w:highlight w:val="white"/>
              </w:rPr>
              <w:t>质量标准：</w:t>
            </w:r>
            <w:r>
              <w:rPr>
                <w:rFonts w:hint="eastAsia"/>
                <w:color w:val="0000FF"/>
                <w:szCs w:val="21"/>
                <w:highlight w:val="white"/>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1.4.1</w:t>
            </w:r>
          </w:p>
        </w:tc>
        <w:tc>
          <w:tcPr>
            <w:tcW w:w="1354" w:type="dxa"/>
            <w:noWrap w:val="0"/>
            <w:vAlign w:val="center"/>
          </w:tcPr>
          <w:p>
            <w:pPr>
              <w:wordWrap w:val="0"/>
              <w:adjustRightInd w:val="0"/>
              <w:snapToGrid w:val="0"/>
              <w:spacing w:line="400" w:lineRule="exact"/>
              <w:rPr>
                <w:szCs w:val="21"/>
              </w:rPr>
            </w:pPr>
            <w:r>
              <w:rPr>
                <w:szCs w:val="21"/>
                <w:highlight w:val="white"/>
              </w:rPr>
              <w:t>投标人资格要求</w:t>
            </w:r>
          </w:p>
        </w:tc>
        <w:tc>
          <w:tcPr>
            <w:tcW w:w="6066" w:type="dxa"/>
            <w:noWrap w:val="0"/>
            <w:vAlign w:val="top"/>
          </w:tcPr>
          <w:p>
            <w:pPr>
              <w:wordWrap w:val="0"/>
              <w:adjustRightInd w:val="0"/>
              <w:snapToGrid w:val="0"/>
              <w:spacing w:line="400" w:lineRule="exact"/>
              <w:rPr>
                <w:szCs w:val="21"/>
              </w:rPr>
            </w:pPr>
            <w:r>
              <w:rPr>
                <w:szCs w:val="21"/>
                <w:highlight w:val="white"/>
              </w:rPr>
              <w:t>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1.4.2</w:t>
            </w:r>
          </w:p>
        </w:tc>
        <w:tc>
          <w:tcPr>
            <w:tcW w:w="1354" w:type="dxa"/>
            <w:noWrap w:val="0"/>
            <w:vAlign w:val="center"/>
          </w:tcPr>
          <w:p>
            <w:pPr>
              <w:wordWrap w:val="0"/>
              <w:adjustRightInd w:val="0"/>
              <w:snapToGrid w:val="0"/>
              <w:spacing w:line="400" w:lineRule="exact"/>
              <w:rPr>
                <w:szCs w:val="21"/>
              </w:rPr>
            </w:pPr>
            <w:r>
              <w:rPr>
                <w:szCs w:val="21"/>
                <w:highlight w:val="white"/>
              </w:rPr>
              <w:t>是否接受联合体投标</w:t>
            </w:r>
          </w:p>
        </w:tc>
        <w:tc>
          <w:tcPr>
            <w:tcW w:w="6066" w:type="dxa"/>
            <w:noWrap w:val="0"/>
            <w:vAlign w:val="center"/>
          </w:tcPr>
          <w:p>
            <w:pPr>
              <w:wordWrap w:val="0"/>
              <w:adjustRightInd w:val="0"/>
              <w:snapToGrid w:val="0"/>
              <w:spacing w:line="400" w:lineRule="exact"/>
              <w:rPr>
                <w:szCs w:val="21"/>
              </w:rPr>
            </w:pPr>
            <w:r>
              <w:rPr>
                <w:szCs w:val="21"/>
                <w:highlight w:val="white"/>
              </w:rPr>
              <w:t>见招标公告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1.9.1</w:t>
            </w:r>
          </w:p>
        </w:tc>
        <w:tc>
          <w:tcPr>
            <w:tcW w:w="1354" w:type="dxa"/>
            <w:noWrap w:val="0"/>
            <w:vAlign w:val="center"/>
          </w:tcPr>
          <w:p>
            <w:pPr>
              <w:wordWrap w:val="0"/>
              <w:adjustRightInd w:val="0"/>
              <w:snapToGrid w:val="0"/>
              <w:spacing w:line="400" w:lineRule="exact"/>
              <w:rPr>
                <w:szCs w:val="21"/>
              </w:rPr>
            </w:pPr>
            <w:r>
              <w:rPr>
                <w:szCs w:val="21"/>
                <w:highlight w:val="white"/>
              </w:rPr>
              <w:t>踏勘现场</w:t>
            </w:r>
          </w:p>
        </w:tc>
        <w:tc>
          <w:tcPr>
            <w:tcW w:w="6066" w:type="dxa"/>
            <w:noWrap w:val="0"/>
            <w:vAlign w:val="center"/>
          </w:tcPr>
          <w:p>
            <w:pPr>
              <w:wordWrap w:val="0"/>
              <w:adjustRightInd w:val="0"/>
              <w:snapToGrid w:val="0"/>
              <w:spacing w:line="400" w:lineRule="exact"/>
              <w:rPr>
                <w:szCs w:val="21"/>
              </w:rPr>
            </w:pPr>
            <w:r>
              <w:rPr>
                <w:szCs w:val="21"/>
                <w:highlight w:val="white"/>
              </w:rPr>
              <w:t>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1.10</w:t>
            </w:r>
          </w:p>
        </w:tc>
        <w:tc>
          <w:tcPr>
            <w:tcW w:w="1354" w:type="dxa"/>
            <w:noWrap w:val="0"/>
            <w:vAlign w:val="center"/>
          </w:tcPr>
          <w:p>
            <w:pPr>
              <w:wordWrap w:val="0"/>
              <w:adjustRightInd w:val="0"/>
              <w:snapToGrid w:val="0"/>
              <w:spacing w:line="400" w:lineRule="exact"/>
              <w:rPr>
                <w:rFonts w:hint="eastAsia" w:eastAsia="宋体"/>
                <w:szCs w:val="21"/>
                <w:lang w:eastAsia="zh-CN"/>
              </w:rPr>
            </w:pPr>
            <w:r>
              <w:rPr>
                <w:rFonts w:hint="eastAsia"/>
                <w:szCs w:val="21"/>
                <w:lang w:eastAsia="zh-CN"/>
              </w:rPr>
              <w:t>投标文件</w:t>
            </w:r>
          </w:p>
        </w:tc>
        <w:tc>
          <w:tcPr>
            <w:tcW w:w="6066" w:type="dxa"/>
            <w:noWrap w:val="0"/>
            <w:vAlign w:val="center"/>
          </w:tcPr>
          <w:p>
            <w:pPr>
              <w:numPr>
                <w:ilvl w:val="0"/>
                <w:numId w:val="0"/>
              </w:numPr>
              <w:wordWrap w:val="0"/>
              <w:adjustRightInd w:val="0"/>
              <w:snapToGrid w:val="0"/>
              <w:spacing w:line="400" w:lineRule="exact"/>
              <w:ind w:left="105" w:leftChars="0"/>
              <w:rPr>
                <w:rFonts w:hint="eastAsia"/>
                <w:color w:val="0000FF"/>
                <w:szCs w:val="21"/>
                <w:highlight w:val="white"/>
                <w:lang w:val="en-US" w:eastAsia="zh-CN"/>
              </w:rPr>
            </w:pPr>
            <w:r>
              <w:rPr>
                <w:rFonts w:hint="eastAsia"/>
                <w:color w:val="0000FF"/>
                <w:szCs w:val="21"/>
                <w:highlight w:val="white"/>
                <w:lang w:val="en-US" w:eastAsia="zh-CN"/>
              </w:rPr>
              <w:t>正本1份，副本2份（胶装、密封）；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1.11</w:t>
            </w:r>
          </w:p>
        </w:tc>
        <w:tc>
          <w:tcPr>
            <w:tcW w:w="1354" w:type="dxa"/>
            <w:noWrap w:val="0"/>
            <w:vAlign w:val="center"/>
          </w:tcPr>
          <w:p>
            <w:pPr>
              <w:wordWrap w:val="0"/>
              <w:adjustRightInd w:val="0"/>
              <w:snapToGrid w:val="0"/>
              <w:spacing w:line="400" w:lineRule="exact"/>
              <w:rPr>
                <w:szCs w:val="21"/>
              </w:rPr>
            </w:pPr>
            <w:r>
              <w:rPr>
                <w:rFonts w:hint="eastAsia"/>
                <w:color w:val="000000"/>
                <w:szCs w:val="21"/>
                <w:highlight w:val="white"/>
                <w:lang w:eastAsia="zh-CN"/>
              </w:rPr>
              <w:t>投标时需携带资料</w:t>
            </w:r>
          </w:p>
        </w:tc>
        <w:tc>
          <w:tcPr>
            <w:tcW w:w="6066" w:type="dxa"/>
            <w:noWrap w:val="0"/>
            <w:vAlign w:val="center"/>
          </w:tcPr>
          <w:p>
            <w:pPr>
              <w:wordWrap w:val="0"/>
              <w:adjustRightInd w:val="0"/>
              <w:snapToGrid w:val="0"/>
              <w:spacing w:line="400" w:lineRule="exact"/>
              <w:rPr>
                <w:szCs w:val="21"/>
              </w:rPr>
            </w:pPr>
            <w:r>
              <w:rPr>
                <w:rFonts w:hint="eastAsia"/>
                <w:color w:val="000000"/>
                <w:szCs w:val="21"/>
                <w:lang w:eastAsia="zh-CN"/>
              </w:rPr>
              <w:t>投标人</w:t>
            </w:r>
            <w:r>
              <w:rPr>
                <w:rFonts w:hint="eastAsia"/>
                <w:color w:val="000000"/>
                <w:szCs w:val="21"/>
              </w:rPr>
              <w:t>须在规定的时间和地点准时参加</w:t>
            </w:r>
            <w:r>
              <w:rPr>
                <w:rFonts w:hint="eastAsia"/>
                <w:color w:val="000000"/>
                <w:szCs w:val="21"/>
                <w:lang w:eastAsia="zh-CN"/>
              </w:rPr>
              <w:t>投标</w:t>
            </w:r>
            <w:r>
              <w:rPr>
                <w:rFonts w:hint="eastAsia"/>
                <w:color w:val="000000"/>
                <w:szCs w:val="21"/>
              </w:rPr>
              <w:t>，并在</w:t>
            </w:r>
            <w:r>
              <w:rPr>
                <w:rFonts w:hint="eastAsia"/>
                <w:color w:val="000000"/>
                <w:szCs w:val="21"/>
                <w:lang w:eastAsia="zh-CN"/>
              </w:rPr>
              <w:t>投标</w:t>
            </w:r>
            <w:r>
              <w:rPr>
                <w:rFonts w:hint="eastAsia"/>
                <w:color w:val="000000"/>
                <w:szCs w:val="21"/>
              </w:rPr>
              <w:t>文件接收截止时间前提供以下资料：（1）</w:t>
            </w:r>
            <w:r>
              <w:rPr>
                <w:rFonts w:hint="eastAsia"/>
                <w:color w:val="000000"/>
                <w:szCs w:val="21"/>
                <w:lang w:eastAsia="zh-CN"/>
              </w:rPr>
              <w:t>投标</w:t>
            </w:r>
            <w:r>
              <w:rPr>
                <w:rFonts w:hint="eastAsia"/>
                <w:color w:val="000000"/>
                <w:szCs w:val="21"/>
              </w:rPr>
              <w:t>文件；（2）法人代表身份证（或被授权人身份证）原件；（3）法定代表人身份证明或法定代表人针对本项目的授权委托书；</w:t>
            </w:r>
            <w:r>
              <w:rPr>
                <w:rFonts w:hint="eastAsia"/>
                <w:color w:val="000000"/>
                <w:szCs w:val="21"/>
                <w:lang w:eastAsia="zh-CN"/>
              </w:rPr>
              <w:t>（</w:t>
            </w:r>
            <w:r>
              <w:rPr>
                <w:rFonts w:hint="eastAsia"/>
                <w:color w:val="000000"/>
                <w:szCs w:val="21"/>
                <w:lang w:val="en-US" w:eastAsia="zh-CN"/>
              </w:rPr>
              <w:t>4）投标保证金；</w:t>
            </w:r>
            <w:r>
              <w:rPr>
                <w:rFonts w:hint="eastAsia"/>
                <w:color w:val="000000"/>
                <w:szCs w:val="21"/>
              </w:rPr>
              <w:t>（</w:t>
            </w:r>
            <w:r>
              <w:rPr>
                <w:rFonts w:hint="eastAsia"/>
                <w:color w:val="000000"/>
                <w:szCs w:val="21"/>
                <w:lang w:val="en-US" w:eastAsia="zh-CN"/>
              </w:rPr>
              <w:t>5</w:t>
            </w:r>
            <w:r>
              <w:rPr>
                <w:rFonts w:hint="eastAsia"/>
                <w:color w:val="000000"/>
                <w:szCs w:val="21"/>
              </w:rPr>
              <w:t>）</w:t>
            </w:r>
            <w:r>
              <w:rPr>
                <w:rFonts w:hint="eastAsia"/>
                <w:color w:val="000000"/>
                <w:szCs w:val="21"/>
                <w:lang w:eastAsia="zh-CN"/>
              </w:rPr>
              <w:t>招标</w:t>
            </w:r>
            <w:r>
              <w:rPr>
                <w:rFonts w:hint="eastAsia"/>
                <w:color w:val="000000"/>
                <w:szCs w:val="21"/>
              </w:rPr>
              <w:t>文件规定的其他材料或</w:t>
            </w:r>
            <w:r>
              <w:rPr>
                <w:rFonts w:hint="eastAsia"/>
                <w:color w:val="000000"/>
                <w:szCs w:val="21"/>
                <w:lang w:eastAsia="zh-CN"/>
              </w:rPr>
              <w:t>投标人</w:t>
            </w:r>
            <w:r>
              <w:rPr>
                <w:rFonts w:hint="eastAsia"/>
                <w:color w:val="000000"/>
                <w:szCs w:val="21"/>
              </w:rPr>
              <w:t>认为有必要提交的其他材料。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2.1.1（9）</w:t>
            </w:r>
          </w:p>
        </w:tc>
        <w:tc>
          <w:tcPr>
            <w:tcW w:w="1354" w:type="dxa"/>
            <w:noWrap w:val="0"/>
            <w:vAlign w:val="center"/>
          </w:tcPr>
          <w:p>
            <w:pPr>
              <w:wordWrap w:val="0"/>
              <w:adjustRightInd w:val="0"/>
              <w:snapToGrid w:val="0"/>
              <w:spacing w:line="400" w:lineRule="exact"/>
              <w:rPr>
                <w:szCs w:val="21"/>
              </w:rPr>
            </w:pPr>
            <w:r>
              <w:rPr>
                <w:szCs w:val="21"/>
                <w:highlight w:val="white"/>
              </w:rPr>
              <w:t>构成招标文件的其他材料</w:t>
            </w:r>
          </w:p>
        </w:tc>
        <w:tc>
          <w:tcPr>
            <w:tcW w:w="6066" w:type="dxa"/>
            <w:noWrap w:val="0"/>
            <w:vAlign w:val="center"/>
          </w:tcPr>
          <w:p>
            <w:pPr>
              <w:tabs>
                <w:tab w:val="left" w:pos="826"/>
              </w:tabs>
              <w:wordWrap w:val="0"/>
              <w:adjustRightInd w:val="0"/>
              <w:snapToGrid w:val="0"/>
              <w:spacing w:line="400" w:lineRule="exact"/>
              <w:rPr>
                <w:szCs w:val="21"/>
                <w:highlight w:val="green"/>
              </w:rPr>
            </w:pPr>
            <w:r>
              <w:rPr>
                <w:rFonts w:hint="eastAsia"/>
                <w:color w:val="0000FF"/>
                <w:szCs w:val="21"/>
                <w:highlight w:val="white"/>
              </w:rPr>
              <w:t>已标价的工程量清单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2.2.1</w:t>
            </w:r>
          </w:p>
        </w:tc>
        <w:tc>
          <w:tcPr>
            <w:tcW w:w="1354" w:type="dxa"/>
            <w:noWrap w:val="0"/>
            <w:vAlign w:val="center"/>
          </w:tcPr>
          <w:p>
            <w:pPr>
              <w:wordWrap w:val="0"/>
              <w:adjustRightInd w:val="0"/>
              <w:snapToGrid w:val="0"/>
              <w:spacing w:line="400" w:lineRule="exact"/>
              <w:rPr>
                <w:szCs w:val="21"/>
              </w:rPr>
            </w:pPr>
            <w:r>
              <w:rPr>
                <w:szCs w:val="21"/>
                <w:highlight w:val="white"/>
              </w:rPr>
              <w:t>投标人要求澄清招标文件的截止时间</w:t>
            </w:r>
          </w:p>
        </w:tc>
        <w:tc>
          <w:tcPr>
            <w:tcW w:w="6066" w:type="dxa"/>
            <w:noWrap w:val="0"/>
            <w:vAlign w:val="center"/>
          </w:tcPr>
          <w:p>
            <w:pPr>
              <w:wordWrap w:val="0"/>
              <w:adjustRightInd w:val="0"/>
              <w:snapToGrid w:val="0"/>
              <w:spacing w:line="400" w:lineRule="exact"/>
              <w:rPr>
                <w:szCs w:val="21"/>
              </w:rPr>
            </w:pPr>
            <w:r>
              <w:rPr>
                <w:rFonts w:hint="eastAsia" w:ascii="宋体" w:hAnsi="宋体"/>
                <w:szCs w:val="21"/>
                <w:highlight w:val="white"/>
              </w:rPr>
              <w:t>投标截止时间</w:t>
            </w:r>
            <w:r>
              <w:rPr>
                <w:rFonts w:hint="eastAsia" w:ascii="宋体" w:hAnsi="宋体"/>
                <w:color w:val="0000FF"/>
                <w:szCs w:val="21"/>
                <w:highlight w:val="white"/>
              </w:rPr>
              <w:t>1</w:t>
            </w:r>
            <w:r>
              <w:rPr>
                <w:rFonts w:hint="eastAsia" w:ascii="宋体" w:hAnsi="宋体"/>
                <w:szCs w:val="21"/>
                <w:highlight w:val="white"/>
              </w:rPr>
              <w:t>天前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2.2.2</w:t>
            </w:r>
          </w:p>
        </w:tc>
        <w:tc>
          <w:tcPr>
            <w:tcW w:w="1354" w:type="dxa"/>
            <w:noWrap w:val="0"/>
            <w:vAlign w:val="center"/>
          </w:tcPr>
          <w:p>
            <w:pPr>
              <w:wordWrap w:val="0"/>
              <w:adjustRightInd w:val="0"/>
              <w:snapToGrid w:val="0"/>
              <w:spacing w:line="400" w:lineRule="exact"/>
              <w:rPr>
                <w:szCs w:val="21"/>
              </w:rPr>
            </w:pPr>
            <w:r>
              <w:rPr>
                <w:szCs w:val="21"/>
                <w:highlight w:val="white"/>
              </w:rPr>
              <w:t>招标文件澄清发布时间</w:t>
            </w:r>
          </w:p>
        </w:tc>
        <w:tc>
          <w:tcPr>
            <w:tcW w:w="6066" w:type="dxa"/>
            <w:noWrap w:val="0"/>
            <w:vAlign w:val="center"/>
          </w:tcPr>
          <w:p>
            <w:pPr>
              <w:wordWrap w:val="0"/>
              <w:adjustRightInd w:val="0"/>
              <w:snapToGrid w:val="0"/>
              <w:spacing w:line="400" w:lineRule="exact"/>
              <w:rPr>
                <w:szCs w:val="21"/>
              </w:rPr>
            </w:pPr>
            <w:r>
              <w:rPr>
                <w:rFonts w:hint="eastAsia" w:ascii="宋体" w:hAnsi="宋体"/>
                <w:szCs w:val="21"/>
                <w:highlight w:val="white"/>
              </w:rPr>
              <w:t>投标截止时间</w:t>
            </w:r>
            <w:r>
              <w:rPr>
                <w:rFonts w:hint="eastAsia" w:ascii="宋体" w:hAnsi="宋体"/>
                <w:color w:val="0000FF"/>
                <w:szCs w:val="21"/>
                <w:highlight w:val="white"/>
              </w:rPr>
              <w:t>1</w:t>
            </w:r>
            <w:r>
              <w:rPr>
                <w:rFonts w:hint="eastAsia" w:ascii="宋体" w:hAnsi="宋体"/>
                <w:szCs w:val="21"/>
                <w:highlight w:val="white"/>
              </w:rPr>
              <w:t>天前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2.4</w:t>
            </w:r>
          </w:p>
        </w:tc>
        <w:tc>
          <w:tcPr>
            <w:tcW w:w="1354" w:type="dxa"/>
            <w:noWrap w:val="0"/>
            <w:vAlign w:val="center"/>
          </w:tcPr>
          <w:p>
            <w:pPr>
              <w:wordWrap w:val="0"/>
              <w:adjustRightInd w:val="0"/>
              <w:snapToGrid w:val="0"/>
              <w:spacing w:line="400" w:lineRule="exact"/>
              <w:rPr>
                <w:szCs w:val="21"/>
              </w:rPr>
            </w:pPr>
            <w:r>
              <w:rPr>
                <w:szCs w:val="21"/>
                <w:highlight w:val="white"/>
              </w:rPr>
              <w:t>招标控制价</w:t>
            </w:r>
          </w:p>
        </w:tc>
        <w:tc>
          <w:tcPr>
            <w:tcW w:w="6066" w:type="dxa"/>
            <w:noWrap w:val="0"/>
            <w:vAlign w:val="center"/>
          </w:tcPr>
          <w:p>
            <w:pPr>
              <w:wordWrap w:val="0"/>
              <w:adjustRightInd w:val="0"/>
              <w:snapToGrid w:val="0"/>
              <w:spacing w:line="400" w:lineRule="exact"/>
              <w:rPr>
                <w:szCs w:val="21"/>
              </w:rPr>
            </w:pPr>
            <w:r>
              <w:rPr>
                <w:szCs w:val="21"/>
                <w:highlight w:val="white"/>
              </w:rPr>
              <w:t>金额</w:t>
            </w:r>
            <w:r>
              <w:rPr>
                <w:szCs w:val="21"/>
                <w:highlight w:val="none"/>
              </w:rPr>
              <w:t>：</w:t>
            </w:r>
            <w:r>
              <w:rPr>
                <w:rFonts w:hint="eastAsia"/>
                <w:color w:val="0000FF"/>
                <w:szCs w:val="21"/>
                <w:highlight w:val="none"/>
                <w:lang w:val="en-US" w:eastAsia="zh-CN"/>
              </w:rPr>
              <w:t>395963.57</w:t>
            </w:r>
            <w:r>
              <w:rPr>
                <w:rFonts w:hint="eastAsia"/>
                <w:color w:val="0000FF"/>
                <w:highlight w:val="none"/>
                <w:lang w:val="en-US" w:eastAsia="zh-CN"/>
              </w:rPr>
              <w:t>；</w:t>
            </w:r>
            <w:r>
              <w:rPr>
                <w:szCs w:val="21"/>
                <w:highlight w:val="none"/>
              </w:rPr>
              <w:t>其中</w:t>
            </w:r>
            <w:r>
              <w:rPr>
                <w:szCs w:val="21"/>
                <w:highlight w:val="white"/>
              </w:rPr>
              <w:t>暂估价：</w:t>
            </w:r>
            <w:r>
              <w:rPr>
                <w:rFonts w:hint="eastAsia"/>
                <w:color w:val="0000FF"/>
                <w:szCs w:val="21"/>
                <w:highlight w:val="whit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3.1.1</w:t>
            </w:r>
          </w:p>
        </w:tc>
        <w:tc>
          <w:tcPr>
            <w:tcW w:w="1354" w:type="dxa"/>
            <w:noWrap w:val="0"/>
            <w:vAlign w:val="center"/>
          </w:tcPr>
          <w:p>
            <w:pPr>
              <w:wordWrap w:val="0"/>
              <w:adjustRightInd w:val="0"/>
              <w:snapToGrid w:val="0"/>
              <w:spacing w:line="400" w:lineRule="exact"/>
              <w:rPr>
                <w:szCs w:val="21"/>
              </w:rPr>
            </w:pPr>
            <w:r>
              <w:rPr>
                <w:szCs w:val="21"/>
                <w:highlight w:val="white"/>
              </w:rPr>
              <w:t>构成投标文件的材料</w:t>
            </w:r>
          </w:p>
        </w:tc>
        <w:tc>
          <w:tcPr>
            <w:tcW w:w="6066" w:type="dxa"/>
            <w:noWrap w:val="0"/>
            <w:vAlign w:val="center"/>
          </w:tcPr>
          <w:p>
            <w:pPr>
              <w:wordWrap w:val="0"/>
              <w:adjustRightInd w:val="0"/>
              <w:snapToGrid w:val="0"/>
              <w:spacing w:line="400" w:lineRule="exact"/>
              <w:rPr>
                <w:szCs w:val="21"/>
              </w:rPr>
            </w:pPr>
            <w:r>
              <w:rPr>
                <w:rFonts w:hint="eastAsia" w:ascii="宋体" w:hAnsi="宋体"/>
                <w:szCs w:val="21"/>
                <w:highlight w:val="white"/>
              </w:rPr>
              <w:t>详见第五章投标文件格式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3.3.1</w:t>
            </w:r>
          </w:p>
        </w:tc>
        <w:tc>
          <w:tcPr>
            <w:tcW w:w="1354" w:type="dxa"/>
            <w:noWrap w:val="0"/>
            <w:vAlign w:val="center"/>
          </w:tcPr>
          <w:p>
            <w:pPr>
              <w:wordWrap w:val="0"/>
              <w:adjustRightInd w:val="0"/>
              <w:snapToGrid w:val="0"/>
              <w:spacing w:line="400" w:lineRule="exact"/>
              <w:rPr>
                <w:szCs w:val="21"/>
              </w:rPr>
            </w:pPr>
            <w:r>
              <w:rPr>
                <w:szCs w:val="21"/>
                <w:highlight w:val="white"/>
              </w:rPr>
              <w:t>投标有效期</w:t>
            </w:r>
          </w:p>
        </w:tc>
        <w:tc>
          <w:tcPr>
            <w:tcW w:w="6066" w:type="dxa"/>
            <w:noWrap w:val="0"/>
            <w:vAlign w:val="center"/>
          </w:tcPr>
          <w:p>
            <w:pPr>
              <w:wordWrap w:val="0"/>
              <w:adjustRightInd w:val="0"/>
              <w:snapToGrid w:val="0"/>
              <w:spacing w:line="400" w:lineRule="exact"/>
              <w:rPr>
                <w:szCs w:val="21"/>
              </w:rPr>
            </w:pPr>
            <w:r>
              <w:rPr>
                <w:szCs w:val="21"/>
                <w:highlight w:val="white"/>
              </w:rPr>
              <w:t>投标截止日后</w:t>
            </w:r>
            <w:r>
              <w:rPr>
                <w:rFonts w:hint="eastAsia"/>
                <w:color w:val="0000FF"/>
                <w:szCs w:val="21"/>
                <w:highlight w:val="white"/>
              </w:rPr>
              <w:t>60</w:t>
            </w:r>
            <w:r>
              <w:rPr>
                <w:szCs w:val="21"/>
                <w:highlight w:val="white"/>
              </w:rPr>
              <w:t xml:space="preserve">日历天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3.2.3</w:t>
            </w:r>
          </w:p>
        </w:tc>
        <w:tc>
          <w:tcPr>
            <w:tcW w:w="1354" w:type="dxa"/>
            <w:noWrap w:val="0"/>
            <w:vAlign w:val="center"/>
          </w:tcPr>
          <w:p>
            <w:pPr>
              <w:wordWrap w:val="0"/>
              <w:adjustRightInd w:val="0"/>
              <w:snapToGrid w:val="0"/>
              <w:spacing w:line="400" w:lineRule="exact"/>
              <w:rPr>
                <w:szCs w:val="21"/>
              </w:rPr>
            </w:pPr>
            <w:r>
              <w:rPr>
                <w:szCs w:val="21"/>
                <w:highlight w:val="white"/>
              </w:rPr>
              <w:t>合同价格形式</w:t>
            </w:r>
          </w:p>
        </w:tc>
        <w:tc>
          <w:tcPr>
            <w:tcW w:w="6066" w:type="dxa"/>
            <w:noWrap w:val="0"/>
            <w:vAlign w:val="center"/>
          </w:tcPr>
          <w:p>
            <w:pPr>
              <w:wordWrap w:val="0"/>
              <w:adjustRightInd w:val="0"/>
              <w:snapToGrid w:val="0"/>
              <w:spacing w:line="400" w:lineRule="exact"/>
              <w:rPr>
                <w:szCs w:val="21"/>
              </w:rPr>
            </w:pPr>
            <w:r>
              <w:rPr>
                <w:rFonts w:hint="eastAsia"/>
                <w:color w:val="0000FF"/>
                <w:szCs w:val="21"/>
                <w:highlight w:val="white"/>
              </w:rPr>
              <w:t xml:space="preserve"> ☑ </w:t>
            </w:r>
            <w:r>
              <w:rPr>
                <w:szCs w:val="21"/>
                <w:highlight w:val="white"/>
              </w:rPr>
              <w:t>单价合同</w:t>
            </w:r>
          </w:p>
          <w:p>
            <w:pPr>
              <w:wordWrap w:val="0"/>
              <w:adjustRightInd w:val="0"/>
              <w:snapToGrid w:val="0"/>
              <w:spacing w:line="400" w:lineRule="exact"/>
              <w:rPr>
                <w:szCs w:val="21"/>
              </w:rPr>
            </w:pPr>
            <w:r>
              <w:rPr>
                <w:rFonts w:hint="eastAsia"/>
                <w:color w:val="0000FF"/>
                <w:szCs w:val="21"/>
                <w:highlight w:val="white"/>
              </w:rPr>
              <w:t xml:space="preserve"> □ </w:t>
            </w:r>
            <w:r>
              <w:rPr>
                <w:szCs w:val="21"/>
                <w:highlight w:val="white"/>
              </w:rPr>
              <w:t>总价合同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3.4.1</w:t>
            </w:r>
          </w:p>
        </w:tc>
        <w:tc>
          <w:tcPr>
            <w:tcW w:w="1354" w:type="dxa"/>
            <w:tcBorders>
              <w:bottom w:val="single" w:color="auto" w:sz="4" w:space="0"/>
            </w:tcBorders>
            <w:noWrap w:val="0"/>
            <w:vAlign w:val="center"/>
          </w:tcPr>
          <w:p>
            <w:pPr>
              <w:wordWrap w:val="0"/>
              <w:adjustRightInd w:val="0"/>
              <w:snapToGrid w:val="0"/>
              <w:spacing w:line="400" w:lineRule="exact"/>
              <w:rPr>
                <w:szCs w:val="21"/>
              </w:rPr>
            </w:pPr>
            <w:r>
              <w:rPr>
                <w:szCs w:val="21"/>
                <w:highlight w:val="white"/>
              </w:rPr>
              <w:t>投标保证金</w:t>
            </w:r>
          </w:p>
        </w:tc>
        <w:tc>
          <w:tcPr>
            <w:tcW w:w="6066" w:type="dxa"/>
            <w:noWrap w:val="0"/>
            <w:vAlign w:val="center"/>
          </w:tcPr>
          <w:p>
            <w:pPr>
              <w:spacing w:line="360" w:lineRule="exact"/>
              <w:rPr>
                <w:rFonts w:hint="eastAsia" w:hAnsi="宋体"/>
                <w:szCs w:val="21"/>
              </w:rPr>
            </w:pPr>
            <w:r>
              <w:rPr>
                <w:rFonts w:hint="eastAsia" w:hAnsi="宋体"/>
                <w:szCs w:val="21"/>
                <w:highlight w:val="white"/>
              </w:rPr>
              <w:t>投标保证金的金额</w:t>
            </w:r>
            <w:r>
              <w:rPr>
                <w:rFonts w:hint="eastAsia" w:hAnsi="宋体"/>
                <w:szCs w:val="21"/>
                <w:highlight w:val="none"/>
              </w:rPr>
              <w:t xml:space="preserve">： </w:t>
            </w:r>
            <w:r>
              <w:rPr>
                <w:rFonts w:hint="eastAsia" w:hAnsi="宋体"/>
                <w:color w:val="0000FF"/>
                <w:szCs w:val="21"/>
                <w:highlight w:val="none"/>
                <w:lang w:val="en-US" w:eastAsia="zh-CN"/>
              </w:rPr>
              <w:t>7500.</w:t>
            </w:r>
            <w:r>
              <w:rPr>
                <w:rFonts w:hint="eastAsia" w:hAnsi="宋体"/>
                <w:color w:val="0000FF"/>
                <w:szCs w:val="21"/>
                <w:highlight w:val="none"/>
              </w:rPr>
              <w:t>00元</w:t>
            </w:r>
          </w:p>
          <w:p>
            <w:pPr>
              <w:spacing w:line="360" w:lineRule="exact"/>
              <w:rPr>
                <w:rFonts w:hint="eastAsia" w:hAnsi="宋体"/>
                <w:color w:val="0000FF"/>
                <w:szCs w:val="21"/>
                <w:highlight w:val="white"/>
              </w:rPr>
            </w:pPr>
            <w:r>
              <w:rPr>
                <w:rFonts w:hint="eastAsia" w:hAnsi="宋体"/>
                <w:color w:val="0000FF"/>
                <w:szCs w:val="21"/>
                <w:highlight w:val="white"/>
              </w:rPr>
              <w:t>竞标保证金提交方式：开标现场以现金方式提交</w:t>
            </w:r>
            <w:r>
              <w:rPr>
                <w:rFonts w:hint="eastAsia" w:hAnsi="宋体"/>
                <w:color w:val="0000FF"/>
                <w:szCs w:val="21"/>
                <w:highlight w:val="white"/>
                <w:lang w:eastAsia="zh-CN"/>
              </w:rPr>
              <w:t>（需密封）</w:t>
            </w:r>
            <w:r>
              <w:rPr>
                <w:rFonts w:hint="eastAsia" w:hAnsi="宋体"/>
                <w:color w:val="0000FF"/>
                <w:szCs w:val="21"/>
                <w:highlight w:val="white"/>
              </w:rPr>
              <w:t>。</w:t>
            </w:r>
          </w:p>
          <w:p>
            <w:pPr>
              <w:spacing w:line="360" w:lineRule="exact"/>
              <w:rPr>
                <w:rFonts w:hint="eastAsia" w:hAnsi="宋体"/>
                <w:color w:val="0000FF"/>
                <w:szCs w:val="21"/>
                <w:highlight w:val="white"/>
              </w:rPr>
            </w:pPr>
            <w:r>
              <w:rPr>
                <w:rFonts w:hint="eastAsia" w:hAnsi="宋体"/>
                <w:color w:val="0000FF"/>
                <w:szCs w:val="21"/>
                <w:highlight w:val="white"/>
              </w:rPr>
              <w:t>竞标保证金的退付方式：未成交竞标人的竞标保证金将在开标后现场退回。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3.5</w:t>
            </w:r>
          </w:p>
        </w:tc>
        <w:tc>
          <w:tcPr>
            <w:tcW w:w="1354" w:type="dxa"/>
            <w:noWrap w:val="0"/>
            <w:vAlign w:val="center"/>
          </w:tcPr>
          <w:p>
            <w:pPr>
              <w:wordWrap w:val="0"/>
              <w:adjustRightInd w:val="0"/>
              <w:snapToGrid w:val="0"/>
              <w:spacing w:line="400" w:lineRule="exact"/>
              <w:rPr>
                <w:szCs w:val="21"/>
              </w:rPr>
            </w:pPr>
            <w:r>
              <w:rPr>
                <w:szCs w:val="21"/>
                <w:highlight w:val="white"/>
              </w:rPr>
              <w:t>是否允许递交备选投标方案</w:t>
            </w:r>
          </w:p>
        </w:tc>
        <w:tc>
          <w:tcPr>
            <w:tcW w:w="6066" w:type="dxa"/>
            <w:noWrap w:val="0"/>
            <w:vAlign w:val="center"/>
          </w:tcPr>
          <w:p>
            <w:pPr>
              <w:spacing w:line="360" w:lineRule="auto"/>
              <w:rPr>
                <w:rFonts w:hint="eastAsia" w:ascii="宋体" w:hAnsi="宋体"/>
                <w:szCs w:val="21"/>
              </w:rPr>
            </w:pPr>
            <w:r>
              <w:rPr>
                <w:rFonts w:hint="eastAsia" w:ascii="仿宋_GB2312" w:hAnsi="仿宋_GB2312" w:eastAsia="仿宋_GB2312" w:cs="仿宋_GB2312"/>
                <w:color w:val="0000FF"/>
                <w:szCs w:val="21"/>
                <w:highlight w:val="white"/>
              </w:rPr>
              <w:t xml:space="preserve"> ☑ </w:t>
            </w:r>
            <w:r>
              <w:rPr>
                <w:rFonts w:hint="eastAsia" w:ascii="仿宋_GB2312" w:hAnsi="仿宋_GB2312" w:eastAsia="仿宋_GB2312" w:cs="仿宋_GB2312"/>
                <w:szCs w:val="21"/>
                <w:highlight w:val="white"/>
              </w:rPr>
              <w:t xml:space="preserve"> </w:t>
            </w:r>
            <w:r>
              <w:rPr>
                <w:rFonts w:hint="eastAsia" w:ascii="宋体" w:hAnsi="宋体"/>
                <w:szCs w:val="21"/>
                <w:highlight w:val="white"/>
              </w:rPr>
              <w:t>不允许</w:t>
            </w:r>
          </w:p>
          <w:p>
            <w:pPr>
              <w:wordWrap w:val="0"/>
              <w:adjustRightInd w:val="0"/>
              <w:snapToGrid w:val="0"/>
              <w:spacing w:line="400" w:lineRule="exact"/>
              <w:rPr>
                <w:szCs w:val="21"/>
                <w:u w:val="single"/>
              </w:rPr>
            </w:pPr>
            <w:r>
              <w:rPr>
                <w:rFonts w:hint="eastAsia" w:ascii="仿宋_GB2312" w:hAnsi="仿宋_GB2312" w:eastAsia="仿宋_GB2312" w:cs="仿宋_GB2312"/>
                <w:color w:val="0000FF"/>
                <w:szCs w:val="21"/>
                <w:highlight w:val="white"/>
              </w:rPr>
              <w:t xml:space="preserve"> □ </w:t>
            </w:r>
            <w:r>
              <w:rPr>
                <w:rFonts w:hint="eastAsia" w:ascii="仿宋_GB2312" w:hAnsi="仿宋_GB2312" w:eastAsia="仿宋_GB2312" w:cs="仿宋_GB2312"/>
                <w:szCs w:val="21"/>
                <w:highlight w:val="white"/>
              </w:rPr>
              <w:t xml:space="preserve"> </w:t>
            </w:r>
            <w:r>
              <w:rPr>
                <w:rFonts w:hint="eastAsia" w:ascii="宋体" w:hAnsi="宋体"/>
                <w:szCs w:val="21"/>
                <w:highlight w:val="white"/>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3.6.5</w:t>
            </w:r>
          </w:p>
        </w:tc>
        <w:tc>
          <w:tcPr>
            <w:tcW w:w="1354" w:type="dxa"/>
            <w:noWrap w:val="0"/>
            <w:vAlign w:val="center"/>
          </w:tcPr>
          <w:p>
            <w:pPr>
              <w:wordWrap w:val="0"/>
              <w:adjustRightInd w:val="0"/>
              <w:snapToGrid w:val="0"/>
              <w:spacing w:line="400" w:lineRule="exact"/>
              <w:rPr>
                <w:szCs w:val="21"/>
              </w:rPr>
            </w:pPr>
            <w:r>
              <w:rPr>
                <w:szCs w:val="21"/>
                <w:highlight w:val="white"/>
              </w:rPr>
              <w:t>施工组织设计暗标编制要求</w:t>
            </w:r>
          </w:p>
        </w:tc>
        <w:tc>
          <w:tcPr>
            <w:tcW w:w="6066" w:type="dxa"/>
            <w:noWrap w:val="0"/>
            <w:vAlign w:val="center"/>
          </w:tcPr>
          <w:p>
            <w:pPr>
              <w:wordWrap w:val="0"/>
              <w:adjustRightInd w:val="0"/>
              <w:snapToGrid w:val="0"/>
              <w:spacing w:line="400" w:lineRule="exact"/>
              <w:rPr>
                <w:szCs w:val="21"/>
              </w:rPr>
            </w:pPr>
            <w:r>
              <w:rPr>
                <w:rFonts w:hint="eastAsia"/>
                <w:color w:val="0000FF"/>
                <w:szCs w:val="21"/>
                <w:highlight w:val="white"/>
              </w:rPr>
              <w:t xml:space="preserve"> ☑ </w:t>
            </w:r>
            <w:r>
              <w:rPr>
                <w:szCs w:val="21"/>
                <w:highlight w:val="white"/>
              </w:rPr>
              <w:t xml:space="preserve">不采用 </w:t>
            </w:r>
          </w:p>
          <w:p>
            <w:pPr>
              <w:wordWrap w:val="0"/>
              <w:adjustRightInd w:val="0"/>
              <w:snapToGrid w:val="0"/>
              <w:spacing w:line="400" w:lineRule="exact"/>
              <w:rPr>
                <w:rFonts w:hint="eastAsia"/>
                <w:szCs w:val="21"/>
              </w:rPr>
            </w:pPr>
            <w:r>
              <w:rPr>
                <w:rFonts w:hint="eastAsia"/>
                <w:color w:val="0000FF"/>
                <w:szCs w:val="21"/>
                <w:highlight w:val="white"/>
              </w:rPr>
              <w:t xml:space="preserve"> □ </w:t>
            </w:r>
            <w:r>
              <w:rPr>
                <w:szCs w:val="21"/>
                <w:highlight w:val="white"/>
              </w:rPr>
              <w:t>采用</w:t>
            </w:r>
          </w:p>
          <w:p>
            <w:pPr>
              <w:wordWrap w:val="0"/>
              <w:adjustRightInd w:val="0"/>
              <w:snapToGrid w:val="0"/>
              <w:spacing w:line="400" w:lineRule="exact"/>
              <w:rPr>
                <w:szCs w:val="21"/>
              </w:rPr>
            </w:pPr>
            <w:r>
              <w:rPr>
                <w:szCs w:val="21"/>
                <w:highlight w:val="white"/>
              </w:rPr>
              <w:t>施工组织设计内容、文字均不得出现投标单位名称、相关人员姓名等和其他可识别投标人身份的字符、徽标、人员名称等。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4.2.1</w:t>
            </w:r>
          </w:p>
        </w:tc>
        <w:tc>
          <w:tcPr>
            <w:tcW w:w="1354" w:type="dxa"/>
            <w:noWrap w:val="0"/>
            <w:vAlign w:val="center"/>
          </w:tcPr>
          <w:p>
            <w:pPr>
              <w:wordWrap w:val="0"/>
              <w:adjustRightInd w:val="0"/>
              <w:snapToGrid w:val="0"/>
              <w:spacing w:line="400" w:lineRule="exact"/>
              <w:jc w:val="left"/>
              <w:rPr>
                <w:szCs w:val="21"/>
              </w:rPr>
            </w:pPr>
            <w:r>
              <w:rPr>
                <w:szCs w:val="21"/>
                <w:highlight w:val="white"/>
              </w:rPr>
              <w:t>投标截止时间</w:t>
            </w:r>
          </w:p>
        </w:tc>
        <w:tc>
          <w:tcPr>
            <w:tcW w:w="6066" w:type="dxa"/>
            <w:noWrap w:val="0"/>
            <w:vAlign w:val="center"/>
          </w:tcPr>
          <w:p>
            <w:pPr>
              <w:wordWrap w:val="0"/>
              <w:adjustRightInd w:val="0"/>
              <w:snapToGrid w:val="0"/>
              <w:spacing w:line="400" w:lineRule="exact"/>
              <w:rPr>
                <w:rFonts w:hint="default" w:eastAsia="宋体"/>
                <w:color w:val="0000FF"/>
                <w:szCs w:val="21"/>
                <w:highlight w:val="green"/>
                <w:lang w:val="en-US" w:eastAsia="zh-CN"/>
              </w:rPr>
            </w:pPr>
            <w:r>
              <w:rPr>
                <w:rFonts w:hint="default" w:eastAsia="宋体"/>
                <w:color w:val="0000FF"/>
                <w:szCs w:val="21"/>
                <w:highlight w:val="none"/>
                <w:shd w:val="clear" w:color="auto" w:fill="FFFFFF"/>
                <w:lang w:val="en-US" w:eastAsia="zh-CN"/>
              </w:rPr>
              <w:t>202</w:t>
            </w:r>
            <w:r>
              <w:rPr>
                <w:rFonts w:hint="eastAsia" w:eastAsia="宋体"/>
                <w:color w:val="0000FF"/>
                <w:szCs w:val="21"/>
                <w:highlight w:val="none"/>
                <w:shd w:val="clear" w:color="auto" w:fill="FFFFFF"/>
                <w:lang w:val="en-US" w:eastAsia="zh-CN"/>
              </w:rPr>
              <w:t>4</w:t>
            </w:r>
            <w:r>
              <w:rPr>
                <w:rFonts w:hint="default" w:eastAsia="宋体"/>
                <w:color w:val="0000FF"/>
                <w:szCs w:val="21"/>
                <w:highlight w:val="none"/>
                <w:shd w:val="clear" w:color="auto" w:fill="FFFFFF"/>
                <w:lang w:val="en-US" w:eastAsia="zh-CN"/>
              </w:rPr>
              <w:t>年</w:t>
            </w:r>
            <w:r>
              <w:rPr>
                <w:rFonts w:hint="eastAsia" w:eastAsia="宋体"/>
                <w:color w:val="0000FF"/>
                <w:szCs w:val="21"/>
                <w:highlight w:val="none"/>
                <w:shd w:val="clear" w:color="auto" w:fill="FFFFFF"/>
                <w:lang w:val="en-US" w:eastAsia="zh-CN"/>
              </w:rPr>
              <w:t>0</w:t>
            </w:r>
            <w:r>
              <w:rPr>
                <w:rFonts w:hint="eastAsia"/>
                <w:color w:val="0000FF"/>
                <w:szCs w:val="21"/>
                <w:highlight w:val="none"/>
                <w:shd w:val="clear" w:color="auto" w:fill="FFFFFF"/>
                <w:lang w:val="en-US" w:eastAsia="zh-CN"/>
              </w:rPr>
              <w:t>5</w:t>
            </w:r>
            <w:r>
              <w:rPr>
                <w:rFonts w:hint="default" w:eastAsia="宋体"/>
                <w:color w:val="0000FF"/>
                <w:szCs w:val="21"/>
                <w:highlight w:val="none"/>
                <w:shd w:val="clear" w:color="auto" w:fill="FFFFFF"/>
                <w:lang w:val="en-US" w:eastAsia="zh-CN"/>
              </w:rPr>
              <w:t>月</w:t>
            </w:r>
            <w:r>
              <w:rPr>
                <w:rFonts w:hint="eastAsia"/>
                <w:color w:val="0000FF"/>
                <w:szCs w:val="21"/>
                <w:highlight w:val="none"/>
                <w:shd w:val="clear" w:color="auto" w:fill="FFFFFF"/>
                <w:lang w:val="en-US" w:eastAsia="zh-CN"/>
              </w:rPr>
              <w:t>06</w:t>
            </w:r>
            <w:r>
              <w:rPr>
                <w:rFonts w:hint="default" w:eastAsia="宋体"/>
                <w:color w:val="0000FF"/>
                <w:szCs w:val="21"/>
                <w:highlight w:val="none"/>
                <w:shd w:val="clear" w:color="auto" w:fill="FFFFFF"/>
                <w:lang w:val="en-US" w:eastAsia="zh-CN"/>
              </w:rPr>
              <w:t>日15:00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5.1.1</w:t>
            </w:r>
          </w:p>
        </w:tc>
        <w:tc>
          <w:tcPr>
            <w:tcW w:w="1354" w:type="dxa"/>
            <w:noWrap w:val="0"/>
            <w:vAlign w:val="center"/>
          </w:tcPr>
          <w:p>
            <w:pPr>
              <w:wordWrap w:val="0"/>
              <w:adjustRightInd w:val="0"/>
              <w:snapToGrid w:val="0"/>
              <w:spacing w:line="400" w:lineRule="exact"/>
              <w:rPr>
                <w:szCs w:val="21"/>
              </w:rPr>
            </w:pPr>
            <w:r>
              <w:rPr>
                <w:szCs w:val="21"/>
                <w:highlight w:val="white"/>
              </w:rPr>
              <w:t>开标时间和地点</w:t>
            </w:r>
          </w:p>
        </w:tc>
        <w:tc>
          <w:tcPr>
            <w:tcW w:w="6066" w:type="dxa"/>
            <w:noWrap w:val="0"/>
            <w:vAlign w:val="center"/>
          </w:tcPr>
          <w:p>
            <w:pPr>
              <w:spacing w:line="360" w:lineRule="auto"/>
              <w:rPr>
                <w:rFonts w:hint="eastAsia" w:ascii="仿宋_GB2312" w:hAnsi="仿宋_GB2312" w:eastAsia="仿宋_GB2312" w:cs="仿宋_GB2312"/>
                <w:color w:val="0000FF"/>
                <w:szCs w:val="21"/>
              </w:rPr>
            </w:pPr>
            <w:r>
              <w:rPr>
                <w:rFonts w:hint="eastAsia" w:ascii="宋体" w:hAnsi="宋体"/>
                <w:color w:val="0000FF"/>
                <w:szCs w:val="21"/>
                <w:highlight w:val="white"/>
              </w:rPr>
              <w:t>开标时间：202</w:t>
            </w:r>
            <w:r>
              <w:rPr>
                <w:rFonts w:hint="eastAsia" w:ascii="宋体" w:hAnsi="宋体"/>
                <w:color w:val="0000FF"/>
                <w:szCs w:val="21"/>
                <w:highlight w:val="white"/>
                <w:lang w:val="en-US" w:eastAsia="zh-CN"/>
              </w:rPr>
              <w:t>4</w:t>
            </w:r>
            <w:r>
              <w:rPr>
                <w:rFonts w:hint="eastAsia" w:ascii="宋体" w:hAnsi="宋体"/>
                <w:color w:val="0000FF"/>
                <w:szCs w:val="21"/>
                <w:highlight w:val="white"/>
              </w:rPr>
              <w:t>年</w:t>
            </w:r>
            <w:r>
              <w:rPr>
                <w:rFonts w:hint="eastAsia" w:ascii="宋体" w:hAnsi="宋体"/>
                <w:color w:val="0000FF"/>
                <w:szCs w:val="21"/>
                <w:highlight w:val="white"/>
                <w:lang w:val="en-US" w:eastAsia="zh-CN"/>
              </w:rPr>
              <w:t>05</w:t>
            </w:r>
            <w:r>
              <w:rPr>
                <w:rFonts w:hint="eastAsia" w:ascii="宋体" w:hAnsi="宋体"/>
                <w:color w:val="0000FF"/>
                <w:szCs w:val="21"/>
                <w:highlight w:val="white"/>
              </w:rPr>
              <w:t>月</w:t>
            </w:r>
            <w:r>
              <w:rPr>
                <w:rFonts w:hint="eastAsia" w:ascii="宋体" w:hAnsi="宋体"/>
                <w:color w:val="0000FF"/>
                <w:szCs w:val="21"/>
                <w:highlight w:val="white"/>
                <w:lang w:val="en-US" w:eastAsia="zh-CN"/>
              </w:rPr>
              <w:t>06</w:t>
            </w:r>
            <w:bookmarkStart w:id="660" w:name="_GoBack"/>
            <w:bookmarkEnd w:id="660"/>
            <w:r>
              <w:rPr>
                <w:rFonts w:hint="eastAsia" w:ascii="宋体" w:hAnsi="宋体"/>
                <w:color w:val="0000FF"/>
                <w:szCs w:val="21"/>
                <w:highlight w:val="white"/>
              </w:rPr>
              <w:t>日15:00</w:t>
            </w:r>
          </w:p>
          <w:p>
            <w:pPr>
              <w:spacing w:line="360" w:lineRule="auto"/>
              <w:rPr>
                <w:rFonts w:hint="eastAsia" w:ascii="仿宋_GB2312" w:hAnsi="仿宋_GB2312" w:eastAsia="宋体" w:cs="仿宋_GB2312"/>
                <w:color w:val="0000FF"/>
                <w:szCs w:val="21"/>
                <w:highlight w:val="green"/>
                <w:lang w:eastAsia="zh-CN"/>
              </w:rPr>
            </w:pPr>
            <w:r>
              <w:rPr>
                <w:rFonts w:hint="eastAsia" w:ascii="宋体" w:hAnsi="宋体"/>
                <w:color w:val="0000FF"/>
                <w:szCs w:val="21"/>
                <w:highlight w:val="white"/>
              </w:rPr>
              <w:t>开标地点：江苏正诚建设工程管理有限公司</w:t>
            </w:r>
            <w:r>
              <w:rPr>
                <w:rFonts w:hint="eastAsia" w:ascii="宋体" w:hAnsi="宋体"/>
                <w:color w:val="0000FF"/>
                <w:szCs w:val="21"/>
                <w:highlight w:val="white"/>
                <w:lang w:val="en-US" w:eastAsia="zh-CN"/>
              </w:rPr>
              <w:t>会议室</w:t>
            </w:r>
            <w:r>
              <w:rPr>
                <w:rFonts w:hint="eastAsia" w:ascii="宋体" w:hAnsi="宋体"/>
                <w:color w:val="0000FF"/>
                <w:szCs w:val="21"/>
                <w:highlight w:val="white"/>
              </w:rPr>
              <w:t>（泰和祥府转角商业楼二楼）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6.3</w:t>
            </w:r>
          </w:p>
        </w:tc>
        <w:tc>
          <w:tcPr>
            <w:tcW w:w="1354" w:type="dxa"/>
            <w:noWrap w:val="0"/>
            <w:vAlign w:val="center"/>
          </w:tcPr>
          <w:p>
            <w:pPr>
              <w:wordWrap w:val="0"/>
              <w:adjustRightInd w:val="0"/>
              <w:snapToGrid w:val="0"/>
              <w:spacing w:line="400" w:lineRule="exact"/>
              <w:rPr>
                <w:szCs w:val="21"/>
              </w:rPr>
            </w:pPr>
            <w:r>
              <w:rPr>
                <w:szCs w:val="21"/>
                <w:highlight w:val="white"/>
              </w:rPr>
              <w:t>评标方法</w:t>
            </w:r>
          </w:p>
        </w:tc>
        <w:tc>
          <w:tcPr>
            <w:tcW w:w="6066" w:type="dxa"/>
            <w:noWrap w:val="0"/>
            <w:vAlign w:val="center"/>
          </w:tcPr>
          <w:p>
            <w:pPr>
              <w:wordWrap w:val="0"/>
              <w:adjustRightInd w:val="0"/>
              <w:snapToGrid w:val="0"/>
              <w:spacing w:line="400" w:lineRule="exact"/>
              <w:rPr>
                <w:szCs w:val="21"/>
              </w:rPr>
            </w:pPr>
            <w:r>
              <w:rPr>
                <w:szCs w:val="21"/>
                <w:highlight w:val="white"/>
              </w:rPr>
              <w:t>合理低价法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p>
        </w:tc>
        <w:tc>
          <w:tcPr>
            <w:tcW w:w="1354" w:type="dxa"/>
            <w:noWrap w:val="0"/>
            <w:vAlign w:val="center"/>
          </w:tcPr>
          <w:p>
            <w:pPr>
              <w:wordWrap w:val="0"/>
              <w:adjustRightInd w:val="0"/>
              <w:snapToGrid w:val="0"/>
              <w:spacing w:line="400" w:lineRule="exact"/>
              <w:rPr>
                <w:szCs w:val="21"/>
              </w:rPr>
            </w:pPr>
            <w:r>
              <w:rPr>
                <w:rFonts w:hint="eastAsia" w:ascii="宋体" w:hAnsi="宋体"/>
                <w:szCs w:val="21"/>
                <w:highlight w:val="white"/>
              </w:rPr>
              <w:t>定标顺序</w:t>
            </w:r>
          </w:p>
        </w:tc>
        <w:tc>
          <w:tcPr>
            <w:tcW w:w="6066" w:type="dxa"/>
            <w:noWrap w:val="0"/>
            <w:vAlign w:val="center"/>
          </w:tcPr>
          <w:p>
            <w:pPr>
              <w:spacing w:line="360" w:lineRule="exact"/>
              <w:textAlignment w:val="baseline"/>
              <w:rPr>
                <w:rFonts w:hint="eastAsia" w:ascii="仿宋_GB2312" w:hAnsi="仿宋_GB2312" w:eastAsia="仿宋_GB2312" w:cs="仿宋_GB2312"/>
                <w:kern w:val="0"/>
                <w:szCs w:val="21"/>
              </w:rPr>
            </w:pPr>
            <w:r>
              <w:rPr>
                <w:rFonts w:hint="eastAsia" w:ascii="宋体" w:hAnsi="宋体"/>
                <w:szCs w:val="21"/>
                <w:highlight w:val="white"/>
              </w:rPr>
              <w:t>各投标人可就上述标段中</w:t>
            </w:r>
            <w:r>
              <w:rPr>
                <w:rFonts w:hint="eastAsia" w:ascii="宋体" w:hAnsi="宋体"/>
                <w:color w:val="0000FF"/>
                <w:szCs w:val="21"/>
                <w:highlight w:val="white"/>
                <w:lang w:val="en-US" w:eastAsia="zh-CN"/>
              </w:rPr>
              <w:t>1</w:t>
            </w:r>
            <w:r>
              <w:rPr>
                <w:rFonts w:hint="eastAsia" w:ascii="宋体" w:hAnsi="宋体"/>
                <w:szCs w:val="21"/>
                <w:highlight w:val="white"/>
              </w:rPr>
              <w:t>个标段投标，但每位投标人只能在</w:t>
            </w:r>
            <w:r>
              <w:rPr>
                <w:rFonts w:hint="eastAsia" w:ascii="宋体" w:hAnsi="宋体"/>
                <w:color w:val="0000FF"/>
                <w:szCs w:val="21"/>
                <w:highlight w:val="white"/>
                <w:lang w:val="en-US" w:eastAsia="zh-CN"/>
              </w:rPr>
              <w:t>1</w:t>
            </w:r>
            <w:r>
              <w:rPr>
                <w:rFonts w:hint="eastAsia" w:ascii="宋体" w:hAnsi="宋体"/>
                <w:szCs w:val="21"/>
                <w:highlight w:val="white"/>
              </w:rPr>
              <w:t>个标段上中标。如某投标人在多个标段上均排名第一时，按顺序定标：</w:t>
            </w:r>
            <w:r>
              <w:rPr>
                <w:rFonts w:hint="eastAsia" w:ascii="仿宋_GB2312" w:hAnsi="仿宋_GB2312" w:eastAsia="仿宋_GB2312" w:cs="仿宋_GB2312"/>
                <w:kern w:val="0"/>
                <w:szCs w:val="21"/>
                <w:highlight w:val="white"/>
              </w:rPr>
              <w:t xml:space="preserve"> </w:t>
            </w:r>
          </w:p>
          <w:p>
            <w:pPr>
              <w:spacing w:line="360" w:lineRule="exact"/>
              <w:textAlignment w:val="baseline"/>
              <w:rPr>
                <w:rFonts w:hint="eastAsia" w:ascii="宋体" w:hAnsi="宋体"/>
                <w:kern w:val="0"/>
                <w:szCs w:val="21"/>
              </w:rPr>
            </w:pPr>
            <w:r>
              <w:rPr>
                <w:rFonts w:hint="eastAsia" w:ascii="仿宋_GB2312" w:hAnsi="仿宋_GB2312" w:eastAsia="仿宋_GB2312" w:cs="仿宋_GB2312"/>
                <w:color w:val="0000FF"/>
                <w:kern w:val="0"/>
                <w:szCs w:val="21"/>
                <w:highlight w:val="white"/>
              </w:rPr>
              <w:t xml:space="preserve"> □ </w:t>
            </w:r>
            <w:r>
              <w:rPr>
                <w:rFonts w:ascii="仿宋_GB2312" w:hAnsi="仿宋_GB2312" w:eastAsia="仿宋_GB2312" w:cs="仿宋_GB2312"/>
                <w:kern w:val="0"/>
                <w:szCs w:val="21"/>
                <w:highlight w:val="white"/>
              </w:rPr>
              <w:t xml:space="preserve"> </w:t>
            </w:r>
            <w:r>
              <w:rPr>
                <w:rFonts w:hint="eastAsia" w:ascii="宋体" w:hAnsi="宋体"/>
                <w:kern w:val="0"/>
                <w:szCs w:val="21"/>
                <w:highlight w:val="white"/>
              </w:rPr>
              <w:t>按标段顺序定标</w:t>
            </w:r>
          </w:p>
          <w:p>
            <w:pPr>
              <w:spacing w:line="360" w:lineRule="exact"/>
              <w:textAlignment w:val="baseline"/>
              <w:rPr>
                <w:rFonts w:hint="eastAsia" w:ascii="宋体" w:hAnsi="宋体"/>
                <w:kern w:val="0"/>
                <w:szCs w:val="21"/>
              </w:rPr>
            </w:pPr>
            <w:r>
              <w:rPr>
                <w:rFonts w:hint="eastAsia" w:ascii="仿宋_GB2312" w:hAnsi="仿宋_GB2312" w:eastAsia="仿宋_GB2312" w:cs="仿宋_GB2312"/>
                <w:color w:val="0000FF"/>
                <w:kern w:val="0"/>
                <w:szCs w:val="21"/>
                <w:highlight w:val="white"/>
              </w:rPr>
              <w:t xml:space="preserve"> □ </w:t>
            </w:r>
            <w:r>
              <w:rPr>
                <w:rFonts w:ascii="仿宋_GB2312" w:hAnsi="仿宋_GB2312" w:eastAsia="仿宋_GB2312" w:cs="仿宋_GB2312"/>
                <w:kern w:val="0"/>
                <w:szCs w:val="21"/>
                <w:highlight w:val="white"/>
              </w:rPr>
              <w:t xml:space="preserve"> </w:t>
            </w:r>
            <w:r>
              <w:rPr>
                <w:rFonts w:hint="eastAsia" w:ascii="宋体" w:hAnsi="宋体"/>
                <w:kern w:val="0"/>
                <w:szCs w:val="21"/>
                <w:highlight w:val="white"/>
              </w:rPr>
              <w:t>优先中其投标报价较大的标段</w:t>
            </w:r>
          </w:p>
          <w:p>
            <w:pPr>
              <w:wordWrap w:val="0"/>
              <w:adjustRightInd w:val="0"/>
              <w:snapToGrid w:val="0"/>
              <w:spacing w:line="400" w:lineRule="exact"/>
              <w:rPr>
                <w:rFonts w:ascii="宋体" w:hAnsi="宋体"/>
                <w:szCs w:val="21"/>
              </w:rPr>
            </w:pPr>
            <w:r>
              <w:rPr>
                <w:rFonts w:hint="eastAsia" w:ascii="宋体" w:hAnsi="宋体"/>
                <w:szCs w:val="21"/>
                <w:highlight w:val="white"/>
              </w:rPr>
              <w:t>已按上述规定被推荐为第一中标候选人的，参与其它标段评标但不参与推荐中标候选人的排序。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7.1</w:t>
            </w:r>
          </w:p>
        </w:tc>
        <w:tc>
          <w:tcPr>
            <w:tcW w:w="1354" w:type="dxa"/>
            <w:noWrap w:val="0"/>
            <w:vAlign w:val="center"/>
          </w:tcPr>
          <w:p>
            <w:pPr>
              <w:wordWrap w:val="0"/>
              <w:adjustRightInd w:val="0"/>
              <w:snapToGrid w:val="0"/>
              <w:spacing w:line="400" w:lineRule="exact"/>
              <w:rPr>
                <w:szCs w:val="21"/>
              </w:rPr>
            </w:pPr>
            <w:r>
              <w:rPr>
                <w:szCs w:val="21"/>
                <w:highlight w:val="white"/>
              </w:rPr>
              <w:t>是否授权评标委员会确定中标人</w:t>
            </w:r>
          </w:p>
        </w:tc>
        <w:tc>
          <w:tcPr>
            <w:tcW w:w="6066" w:type="dxa"/>
            <w:noWrap w:val="0"/>
            <w:vAlign w:val="center"/>
          </w:tcPr>
          <w:p>
            <w:pPr>
              <w:wordWrap w:val="0"/>
              <w:adjustRightInd w:val="0"/>
              <w:snapToGrid w:val="0"/>
              <w:spacing w:line="400" w:lineRule="exact"/>
              <w:rPr>
                <w:szCs w:val="21"/>
              </w:rPr>
            </w:pPr>
            <w:r>
              <w:rPr>
                <w:rFonts w:hint="eastAsia"/>
                <w:color w:val="0000FF"/>
                <w:szCs w:val="21"/>
                <w:highlight w:val="white"/>
              </w:rPr>
              <w:t xml:space="preserve"> </w:t>
            </w:r>
          </w:p>
          <w:p>
            <w:pPr>
              <w:wordWrap w:val="0"/>
              <w:adjustRightInd w:val="0"/>
              <w:snapToGrid w:val="0"/>
              <w:spacing w:line="400" w:lineRule="exact"/>
              <w:rPr>
                <w:szCs w:val="21"/>
              </w:rPr>
            </w:pPr>
            <w:r>
              <w:rPr>
                <w:rFonts w:hint="eastAsia"/>
                <w:color w:val="0000FF"/>
                <w:szCs w:val="21"/>
                <w:highlight w:val="white"/>
              </w:rPr>
              <w:t xml:space="preserve">  </w:t>
            </w:r>
            <w:r>
              <w:rPr>
                <w:szCs w:val="21"/>
                <w:highlight w:val="white"/>
              </w:rPr>
              <w:t>否，推荐的中标候选人数：</w:t>
            </w:r>
            <w:r>
              <w:rPr>
                <w:rFonts w:hint="eastAsia"/>
                <w:color w:val="0000FF"/>
                <w:szCs w:val="21"/>
                <w:highlight w:val="white"/>
              </w:rPr>
              <w:t>3名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szCs w:val="21"/>
                <w:highlight w:val="white"/>
              </w:rPr>
              <w:t>7.3.1</w:t>
            </w:r>
          </w:p>
        </w:tc>
        <w:tc>
          <w:tcPr>
            <w:tcW w:w="1354" w:type="dxa"/>
            <w:noWrap w:val="0"/>
            <w:vAlign w:val="center"/>
          </w:tcPr>
          <w:p>
            <w:pPr>
              <w:wordWrap w:val="0"/>
              <w:adjustRightInd w:val="0"/>
              <w:snapToGrid w:val="0"/>
              <w:spacing w:line="400" w:lineRule="exact"/>
              <w:rPr>
                <w:szCs w:val="21"/>
              </w:rPr>
            </w:pPr>
            <w:r>
              <w:rPr>
                <w:szCs w:val="21"/>
                <w:highlight w:val="white"/>
              </w:rPr>
              <w:t>履约保证金</w:t>
            </w:r>
          </w:p>
        </w:tc>
        <w:tc>
          <w:tcPr>
            <w:tcW w:w="6066" w:type="dxa"/>
            <w:noWrap w:val="0"/>
            <w:vAlign w:val="center"/>
          </w:tcPr>
          <w:p>
            <w:pPr>
              <w:wordWrap w:val="0"/>
              <w:adjustRightInd w:val="0"/>
              <w:snapToGrid w:val="0"/>
              <w:spacing w:line="400" w:lineRule="exact"/>
              <w:rPr>
                <w:rFonts w:hint="eastAsia"/>
                <w:szCs w:val="21"/>
              </w:rPr>
            </w:pPr>
            <w:r>
              <w:rPr>
                <w:rFonts w:hint="eastAsia"/>
                <w:szCs w:val="21"/>
                <w:highlight w:val="white"/>
              </w:rPr>
              <w:t>履约保证金的形式：</w:t>
            </w:r>
            <w:r>
              <w:rPr>
                <w:rFonts w:hint="eastAsia"/>
                <w:color w:val="0000FF"/>
                <w:szCs w:val="21"/>
                <w:highlight w:val="white"/>
              </w:rPr>
              <w:t>履约保证金</w:t>
            </w:r>
          </w:p>
          <w:p>
            <w:pPr>
              <w:wordWrap w:val="0"/>
              <w:adjustRightInd w:val="0"/>
              <w:snapToGrid w:val="0"/>
              <w:spacing w:line="400" w:lineRule="exact"/>
              <w:rPr>
                <w:rFonts w:hint="eastAsia"/>
                <w:color w:val="0000FF"/>
                <w:szCs w:val="21"/>
                <w:highlight w:val="white"/>
              </w:rPr>
            </w:pPr>
            <w:r>
              <w:rPr>
                <w:rFonts w:hint="eastAsia"/>
                <w:szCs w:val="21"/>
                <w:highlight w:val="white"/>
              </w:rPr>
              <w:t>履约保证金的金额：</w:t>
            </w:r>
            <w:r>
              <w:rPr>
                <w:rFonts w:hint="eastAsia"/>
                <w:color w:val="0000FF"/>
                <w:szCs w:val="21"/>
                <w:highlight w:val="white"/>
              </w:rPr>
              <w:t>中标价的  5 %</w:t>
            </w:r>
          </w:p>
          <w:p>
            <w:pPr>
              <w:wordWrap w:val="0"/>
              <w:adjustRightInd w:val="0"/>
              <w:snapToGrid w:val="0"/>
              <w:spacing w:line="400" w:lineRule="exact"/>
              <w:rPr>
                <w:rFonts w:hint="default" w:eastAsia="宋体"/>
                <w:color w:val="0000FF"/>
                <w:szCs w:val="21"/>
                <w:highlight w:val="white"/>
                <w:lang w:val="en-US" w:eastAsia="zh-CN"/>
              </w:rPr>
            </w:pPr>
            <w:r>
              <w:rPr>
                <w:rFonts w:hint="eastAsia"/>
                <w:color w:val="0000FF"/>
                <w:szCs w:val="21"/>
                <w:highlight w:val="white"/>
                <w:lang w:val="en-US" w:eastAsia="zh-CN"/>
              </w:rPr>
              <w:t>履约保证金的退还时间：竣工验收后15日内无息退还。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52" w:type="dxa"/>
            <w:noWrap w:val="0"/>
            <w:vAlign w:val="center"/>
          </w:tcPr>
          <w:p>
            <w:pPr>
              <w:wordWrap w:val="0"/>
              <w:adjustRightInd w:val="0"/>
              <w:snapToGrid w:val="0"/>
              <w:spacing w:line="400" w:lineRule="exact"/>
              <w:jc w:val="center"/>
              <w:rPr>
                <w:szCs w:val="21"/>
              </w:rPr>
            </w:pPr>
            <w:r>
              <w:rPr>
                <w:rFonts w:hint="eastAsia"/>
                <w:szCs w:val="21"/>
                <w:highlight w:val="white"/>
              </w:rPr>
              <w:t>12</w:t>
            </w:r>
          </w:p>
        </w:tc>
        <w:tc>
          <w:tcPr>
            <w:tcW w:w="1354" w:type="dxa"/>
            <w:noWrap w:val="0"/>
            <w:vAlign w:val="center"/>
          </w:tcPr>
          <w:p>
            <w:pPr>
              <w:wordWrap w:val="0"/>
              <w:adjustRightInd w:val="0"/>
              <w:snapToGrid w:val="0"/>
              <w:spacing w:line="400" w:lineRule="exact"/>
              <w:rPr>
                <w:szCs w:val="21"/>
              </w:rPr>
            </w:pPr>
            <w:r>
              <w:rPr>
                <w:rFonts w:hint="eastAsia" w:ascii="宋体" w:hAnsi="宋体"/>
                <w:szCs w:val="21"/>
                <w:highlight w:val="white"/>
              </w:rPr>
              <w:t>需要补充的其他内容</w:t>
            </w:r>
          </w:p>
        </w:tc>
        <w:tc>
          <w:tcPr>
            <w:tcW w:w="6066" w:type="dxa"/>
            <w:noWrap w:val="0"/>
            <w:vAlign w:val="center"/>
          </w:tcPr>
          <w:p>
            <w:pPr>
              <w:wordWrap w:val="0"/>
              <w:adjustRightInd w:val="0"/>
              <w:snapToGrid w:val="0"/>
              <w:spacing w:line="400" w:lineRule="exact"/>
              <w:rPr>
                <w:rFonts w:hint="eastAsia" w:eastAsia="宋体"/>
                <w:szCs w:val="21"/>
                <w:highlight w:val="green"/>
                <w:lang w:eastAsia="zh-CN"/>
              </w:rPr>
            </w:pPr>
            <w:r>
              <w:rPr>
                <w:rFonts w:hint="eastAsia"/>
                <w:color w:val="0000FF"/>
                <w:szCs w:val="21"/>
                <w:highlight w:val="white"/>
              </w:rPr>
              <w:t xml:space="preserve">1、投标时，投标文件中的施工组织设计内容可不编写，中标后，中标人按有关规定编制施工组织设计 </w:t>
            </w:r>
            <w:r>
              <w:rPr>
                <w:rFonts w:hint="eastAsia"/>
                <w:color w:val="0000FF"/>
                <w:szCs w:val="21"/>
                <w:highlight w:val="white"/>
                <w:lang w:eastAsia="zh-CN"/>
              </w:rPr>
              <w:t>；</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2、投标单位编制投标报价应按一般计税方法报价。投标人须充分考虑在投标报价中，相关风险由投标人自行承担。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3、取消对本工程项目负责人和授权委托人劳动合同要求。招标文件中要求项目负责人和授权委托人合同的，投标人可不提供。</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4、投标人需保证所提交的资格审查文件、投标文件中的所有资料都是真实可信的，没有弄虚作假的。否则，合同签订前，将投标人列入招标投标市场“不良行为”，限制进入宿迁经济技术开发区招标投标市场，同时没收投标保证金，若在合同履行期间中发现上述弄虚作假问题，招标人将没收履约保证金并有权解除合同，造成损失的负有赔偿责任。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5、根据最高检通知，自 2018 年 8 月 1 日起，全国各级检察院停止提供“无行贿犯罪记录”查询服务，故投标人无须提供此项材料。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6、投标人不得改变下列不可竞争费用：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一、现场安全、文明施工措施费：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1.基本费率，详见工程量清单；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2.省级标化增加费率，详见工程量清单；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3、扬尘污染防治增加费，详见工程量清单。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二、规费：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1.社会保险费率，详见工程量清单；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2.住房公积金，详见工程量清单；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3.环境保护税，详见工程量清单。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三、税金，详见工程量清单。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四、工程按质论价费率。 </w:t>
            </w:r>
          </w:p>
          <w:p>
            <w:pPr>
              <w:wordWrap w:val="0"/>
              <w:adjustRightInd w:val="0"/>
              <w:snapToGrid w:val="0"/>
              <w:spacing w:line="400" w:lineRule="exact"/>
              <w:rPr>
                <w:rFonts w:hint="eastAsia"/>
                <w:color w:val="0000FF"/>
                <w:szCs w:val="21"/>
                <w:highlight w:val="white"/>
              </w:rPr>
            </w:pPr>
            <w:r>
              <w:rPr>
                <w:rFonts w:hint="eastAsia"/>
                <w:color w:val="0000FF"/>
                <w:szCs w:val="21"/>
                <w:highlight w:val="white"/>
                <w:lang w:val="en-US" w:eastAsia="zh-CN"/>
              </w:rPr>
              <w:t>7</w:t>
            </w:r>
            <w:r>
              <w:rPr>
                <w:rFonts w:hint="eastAsia"/>
                <w:color w:val="0000FF"/>
                <w:szCs w:val="21"/>
                <w:highlight w:val="white"/>
              </w:rPr>
              <w:t>、各投标人务必踏勘现场，如因未踏勘现场造成的损失自行承担。</w:t>
            </w:r>
          </w:p>
          <w:p>
            <w:pPr>
              <w:wordWrap w:val="0"/>
              <w:adjustRightInd w:val="0"/>
              <w:snapToGrid w:val="0"/>
              <w:spacing w:line="400" w:lineRule="exact"/>
              <w:rPr>
                <w:rFonts w:hint="eastAsia"/>
                <w:color w:val="0000FF"/>
                <w:szCs w:val="21"/>
                <w:highlight w:val="white"/>
              </w:rPr>
            </w:pPr>
            <w:r>
              <w:rPr>
                <w:rFonts w:hint="eastAsia"/>
                <w:color w:val="0000FF"/>
                <w:szCs w:val="21"/>
                <w:highlight w:val="white"/>
                <w:lang w:val="en-US" w:eastAsia="zh-CN"/>
              </w:rPr>
              <w:t>8</w:t>
            </w:r>
            <w:r>
              <w:rPr>
                <w:rFonts w:hint="eastAsia"/>
                <w:color w:val="0000FF"/>
                <w:szCs w:val="21"/>
                <w:highlight w:val="white"/>
              </w:rPr>
              <w:t xml:space="preserve">、执行《关于在公共资源交易领域的招标投标活动中建立对失信被执行人联合惩戒机制的实施意见》第十条至第十四条相关内容，具体如下：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第十条（资格预审中的惩戒措施）实行资格预审的，在资格审查委员会进行资格审查时，正被列为失信被执行人的资格预审申请人的资格审查结果为不合格。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第十一条（评标中的惩戒措施）在评标阶段，投标人正被列为失信被执行人的，评标委员会不得荐该投标人为中标候选人。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 xml:space="preserve">第十二条（中标人确定的惩戒）在中标候选人公示至发出中标通知书的期间，公示的中标候选人正被列为失信被执行人的，招标人应当取消其中标资格，并重新确定中标人。 </w:t>
            </w:r>
          </w:p>
          <w:p>
            <w:pPr>
              <w:wordWrap w:val="0"/>
              <w:adjustRightInd w:val="0"/>
              <w:snapToGrid w:val="0"/>
              <w:spacing w:line="400" w:lineRule="exact"/>
              <w:rPr>
                <w:rFonts w:hint="eastAsia"/>
                <w:color w:val="0000FF"/>
                <w:szCs w:val="21"/>
                <w:highlight w:val="white"/>
              </w:rPr>
            </w:pPr>
            <w:r>
              <w:rPr>
                <w:rFonts w:hint="eastAsia"/>
                <w:color w:val="0000FF"/>
                <w:szCs w:val="21"/>
                <w:highlight w:val="white"/>
              </w:rPr>
              <w:t>招标人确定正被列为失信被执行人的投标人为中标人的，中标结果无效。</w:t>
            </w:r>
          </w:p>
        </w:tc>
      </w:tr>
    </w:tbl>
    <w:p>
      <w:pPr>
        <w:bidi w:val="0"/>
        <w:rPr>
          <w:highlight w:val="cyan"/>
        </w:rPr>
      </w:pPr>
      <w:r>
        <w:rPr>
          <w:color w:val="000080"/>
          <w:sz w:val="20"/>
          <w:highlight w:val="white"/>
        </w:rPr>
        <w:t xml:space="preserve"> </w:t>
      </w:r>
    </w:p>
    <w:p>
      <w:pPr>
        <w:pStyle w:val="2"/>
        <w:keepNext w:val="0"/>
        <w:keepLines w:val="0"/>
        <w:wordWrap w:val="0"/>
        <w:bidi w:val="0"/>
        <w:sectPr>
          <w:footerReference r:id="rId6" w:type="default"/>
          <w:pgSz w:w="11906" w:h="16838"/>
          <w:pgMar w:top="1440" w:right="1559" w:bottom="1440" w:left="1560" w:header="851" w:footer="851" w:gutter="0"/>
          <w:pgNumType w:start="1"/>
          <w:cols w:space="720" w:num="1"/>
          <w:docGrid w:linePitch="312" w:charSpace="0"/>
        </w:sectPr>
      </w:pPr>
    </w:p>
    <w:p>
      <w:pPr>
        <w:bidi w:val="0"/>
        <w:rPr>
          <w:highlight w:val="yellow"/>
        </w:rPr>
      </w:pPr>
      <w:r>
        <w:rPr>
          <w:color w:val="000080"/>
          <w:sz w:val="20"/>
          <w:highlight w:val="white"/>
        </w:rPr>
        <w:t xml:space="preserve">  </w:t>
      </w:r>
      <w:r>
        <w:rPr>
          <w:highlight w:val="white"/>
        </w:rPr>
        <w:t xml:space="preserve"> </w:t>
      </w:r>
    </w:p>
    <w:p>
      <w:pPr>
        <w:pStyle w:val="2"/>
        <w:wordWrap w:val="0"/>
        <w:bidi w:val="0"/>
      </w:pPr>
      <w:bookmarkStart w:id="12" w:name="_Toc21929"/>
      <w:r>
        <w:rPr>
          <w:highlight w:val="white"/>
        </w:rPr>
        <w:t>投标人须知</w:t>
      </w:r>
      <w:bookmarkEnd w:id="12"/>
    </w:p>
    <w:p>
      <w:pPr>
        <w:pStyle w:val="3"/>
        <w:wordWrap w:val="0"/>
        <w:bidi w:val="0"/>
        <w:spacing w:line="360" w:lineRule="auto"/>
        <w:rPr>
          <w:rFonts w:ascii="Times New Roman" w:hAnsi="Times New Roman"/>
        </w:rPr>
      </w:pPr>
      <w:bookmarkStart w:id="13" w:name="_Toc26792"/>
      <w:r>
        <w:rPr>
          <w:rFonts w:ascii="Times New Roman" w:hAnsi="Times New Roman"/>
          <w:highlight w:val="white"/>
        </w:rPr>
        <w:t>总则</w:t>
      </w:r>
      <w:bookmarkEnd w:id="13"/>
    </w:p>
    <w:p>
      <w:pPr>
        <w:pStyle w:val="4"/>
        <w:wordWrap w:val="0"/>
        <w:bidi w:val="0"/>
      </w:pPr>
      <w:bookmarkStart w:id="14" w:name="_Toc26308"/>
      <w:r>
        <w:rPr>
          <w:highlight w:val="white"/>
        </w:rPr>
        <w:t>1.1 项目概况</w:t>
      </w:r>
      <w:bookmarkEnd w:id="14"/>
    </w:p>
    <w:p>
      <w:pPr>
        <w:wordWrap w:val="0"/>
        <w:bidi w:val="0"/>
        <w:spacing w:line="360" w:lineRule="auto"/>
        <w:ind w:firstLine="420" w:firstLineChars="200"/>
        <w:rPr>
          <w:szCs w:val="21"/>
        </w:rPr>
      </w:pPr>
      <w:r>
        <w:rPr>
          <w:szCs w:val="21"/>
          <w:highlight w:val="white"/>
        </w:rPr>
        <w:t>1.1.1 根据《中华人民共和国招标投标法》、《中华人民共和国招标投标法实施条例》等有关法律、法规和规章的规定，本招标项目已具备招标条件，现对本标段施工进行招标。</w:t>
      </w:r>
    </w:p>
    <w:p>
      <w:pPr>
        <w:wordWrap w:val="0"/>
        <w:bidi w:val="0"/>
        <w:spacing w:line="360" w:lineRule="auto"/>
        <w:ind w:firstLine="420" w:firstLineChars="200"/>
        <w:rPr>
          <w:szCs w:val="21"/>
        </w:rPr>
      </w:pPr>
      <w:r>
        <w:rPr>
          <w:szCs w:val="21"/>
          <w:highlight w:val="white"/>
        </w:rPr>
        <w:t>1.1.2 本招标项目招标人：见“投标人须知前附表”。</w:t>
      </w:r>
    </w:p>
    <w:p>
      <w:pPr>
        <w:wordWrap w:val="0"/>
        <w:bidi w:val="0"/>
        <w:spacing w:line="360" w:lineRule="auto"/>
        <w:ind w:firstLine="420" w:firstLineChars="200"/>
        <w:rPr>
          <w:szCs w:val="21"/>
        </w:rPr>
      </w:pPr>
      <w:r>
        <w:rPr>
          <w:szCs w:val="21"/>
          <w:highlight w:val="white"/>
        </w:rPr>
        <w:t>1.1.3 本标段招标代理机构：见“投标人须知前附表”。</w:t>
      </w:r>
    </w:p>
    <w:p>
      <w:pPr>
        <w:wordWrap w:val="0"/>
        <w:bidi w:val="0"/>
        <w:spacing w:line="360" w:lineRule="auto"/>
        <w:ind w:firstLine="420" w:firstLineChars="200"/>
        <w:rPr>
          <w:szCs w:val="21"/>
        </w:rPr>
      </w:pPr>
      <w:r>
        <w:rPr>
          <w:szCs w:val="21"/>
          <w:highlight w:val="white"/>
        </w:rPr>
        <w:t>1.1.4 本招标项目及标段名称：见“投标人须知前附表”。</w:t>
      </w:r>
    </w:p>
    <w:p>
      <w:pPr>
        <w:wordWrap w:val="0"/>
        <w:bidi w:val="0"/>
        <w:spacing w:line="360" w:lineRule="auto"/>
        <w:ind w:firstLine="420" w:firstLineChars="200"/>
        <w:rPr>
          <w:szCs w:val="21"/>
        </w:rPr>
      </w:pPr>
      <w:r>
        <w:rPr>
          <w:szCs w:val="21"/>
          <w:highlight w:val="white"/>
        </w:rPr>
        <w:t>1.1.5 本标段建设地点：见“投标人须知前附表”。</w:t>
      </w:r>
    </w:p>
    <w:p>
      <w:pPr>
        <w:pStyle w:val="4"/>
        <w:wordWrap w:val="0"/>
        <w:bidi w:val="0"/>
      </w:pPr>
      <w:bookmarkStart w:id="15" w:name="_Toc14039"/>
      <w:r>
        <w:rPr>
          <w:highlight w:val="white"/>
        </w:rPr>
        <w:t>1.2 资金来源和落实情况</w:t>
      </w:r>
      <w:bookmarkEnd w:id="15"/>
    </w:p>
    <w:p>
      <w:pPr>
        <w:wordWrap w:val="0"/>
        <w:bidi w:val="0"/>
        <w:spacing w:line="360" w:lineRule="auto"/>
        <w:ind w:firstLine="420" w:firstLineChars="200"/>
        <w:rPr>
          <w:szCs w:val="21"/>
        </w:rPr>
      </w:pPr>
      <w:r>
        <w:rPr>
          <w:szCs w:val="21"/>
          <w:highlight w:val="white"/>
        </w:rPr>
        <w:t>1.2.1 本招标项目的资金来源：见“投标人须知前附表”。</w:t>
      </w:r>
    </w:p>
    <w:p>
      <w:pPr>
        <w:wordWrap w:val="0"/>
        <w:bidi w:val="0"/>
        <w:spacing w:line="360" w:lineRule="auto"/>
        <w:ind w:firstLine="420" w:firstLineChars="200"/>
        <w:rPr>
          <w:szCs w:val="21"/>
        </w:rPr>
      </w:pPr>
      <w:r>
        <w:rPr>
          <w:szCs w:val="21"/>
          <w:highlight w:val="white"/>
        </w:rPr>
        <w:t>1.2.2 本招标项目的出资比例：见“投标人须知前附表”。</w:t>
      </w:r>
    </w:p>
    <w:p>
      <w:pPr>
        <w:wordWrap w:val="0"/>
        <w:bidi w:val="0"/>
        <w:spacing w:line="360" w:lineRule="auto"/>
        <w:ind w:firstLine="420" w:firstLineChars="200"/>
        <w:rPr>
          <w:szCs w:val="21"/>
        </w:rPr>
      </w:pPr>
      <w:r>
        <w:rPr>
          <w:szCs w:val="21"/>
          <w:highlight w:val="white"/>
        </w:rPr>
        <w:t>1.2.3 本招标项目的资金落实情况：见“投标人须知前附表”。</w:t>
      </w:r>
    </w:p>
    <w:p>
      <w:pPr>
        <w:wordWrap w:val="0"/>
        <w:bidi w:val="0"/>
        <w:spacing w:line="360" w:lineRule="auto"/>
        <w:ind w:firstLine="420" w:firstLineChars="200"/>
        <w:rPr>
          <w:szCs w:val="21"/>
        </w:rPr>
      </w:pPr>
      <w:r>
        <w:rPr>
          <w:szCs w:val="21"/>
          <w:highlight w:val="white"/>
        </w:rPr>
        <w:t>1.2.4 本招标项目的工程款支付方式：见“投标人须知前附表”。</w:t>
      </w:r>
    </w:p>
    <w:p>
      <w:pPr>
        <w:pStyle w:val="4"/>
        <w:wordWrap w:val="0"/>
        <w:bidi w:val="0"/>
      </w:pPr>
      <w:bookmarkStart w:id="16" w:name="_Toc22615"/>
      <w:r>
        <w:rPr>
          <w:highlight w:val="white"/>
        </w:rPr>
        <w:t>1.3 招标范围、计划工期和质量要求</w:t>
      </w:r>
      <w:bookmarkEnd w:id="16"/>
    </w:p>
    <w:p>
      <w:pPr>
        <w:wordWrap w:val="0"/>
        <w:bidi w:val="0"/>
        <w:spacing w:line="360" w:lineRule="auto"/>
        <w:ind w:firstLine="420" w:firstLineChars="200"/>
        <w:rPr>
          <w:szCs w:val="21"/>
        </w:rPr>
      </w:pPr>
      <w:r>
        <w:rPr>
          <w:szCs w:val="21"/>
          <w:highlight w:val="white"/>
        </w:rPr>
        <w:t>1.3.1 本次招标范围：见“投标人须知前附表”。</w:t>
      </w:r>
    </w:p>
    <w:p>
      <w:pPr>
        <w:wordWrap w:val="0"/>
        <w:bidi w:val="0"/>
        <w:spacing w:line="360" w:lineRule="auto"/>
        <w:ind w:firstLine="420" w:firstLineChars="200"/>
        <w:rPr>
          <w:szCs w:val="21"/>
        </w:rPr>
      </w:pPr>
      <w:r>
        <w:rPr>
          <w:szCs w:val="21"/>
          <w:highlight w:val="white"/>
        </w:rPr>
        <w:t>1.3.2 本标段的要求工期：见“投标人须知前附表”。</w:t>
      </w:r>
    </w:p>
    <w:p>
      <w:pPr>
        <w:wordWrap w:val="0"/>
        <w:bidi w:val="0"/>
        <w:spacing w:line="360" w:lineRule="auto"/>
        <w:ind w:firstLine="420" w:firstLineChars="200"/>
        <w:rPr>
          <w:szCs w:val="21"/>
        </w:rPr>
      </w:pPr>
      <w:r>
        <w:rPr>
          <w:szCs w:val="21"/>
          <w:highlight w:val="white"/>
        </w:rPr>
        <w:t>1.3.3 本标段的质量要求：见“投标人须知前附表”。</w:t>
      </w:r>
    </w:p>
    <w:p>
      <w:pPr>
        <w:pStyle w:val="4"/>
        <w:wordWrap w:val="0"/>
        <w:bidi w:val="0"/>
      </w:pPr>
      <w:bookmarkStart w:id="17" w:name="_Toc11226"/>
      <w:r>
        <w:rPr>
          <w:highlight w:val="white"/>
        </w:rPr>
        <w:t>1.4 投标人资格要求</w:t>
      </w:r>
      <w:bookmarkEnd w:id="17"/>
    </w:p>
    <w:p>
      <w:pPr>
        <w:wordWrap w:val="0"/>
        <w:bidi w:val="0"/>
        <w:spacing w:line="360" w:lineRule="auto"/>
        <w:ind w:firstLine="420" w:firstLineChars="200"/>
        <w:rPr>
          <w:szCs w:val="21"/>
        </w:rPr>
      </w:pPr>
      <w:r>
        <w:rPr>
          <w:szCs w:val="21"/>
          <w:highlight w:val="white"/>
        </w:rPr>
        <w:t>1.4.1 投标人应具备承担本项目施工的资格要求，见招标公告。</w:t>
      </w:r>
    </w:p>
    <w:p>
      <w:pPr>
        <w:wordWrap w:val="0"/>
        <w:bidi w:val="0"/>
        <w:spacing w:line="360" w:lineRule="auto"/>
        <w:ind w:firstLine="420" w:firstLineChars="200"/>
        <w:rPr>
          <w:szCs w:val="21"/>
        </w:rPr>
      </w:pPr>
      <w:r>
        <w:rPr>
          <w:szCs w:val="21"/>
          <w:highlight w:val="white"/>
        </w:rPr>
        <w:t>1.4.2 “投标人须知前附表”规定接受联合体投标的，除应符合本章第1.4.1项和“投标人须知前附表”的要求外，还应遵守以下规定：</w:t>
      </w:r>
    </w:p>
    <w:p>
      <w:pPr>
        <w:wordWrap w:val="0"/>
        <w:bidi w:val="0"/>
        <w:spacing w:line="360" w:lineRule="auto"/>
        <w:ind w:firstLine="420" w:firstLineChars="200"/>
        <w:rPr>
          <w:szCs w:val="21"/>
        </w:rPr>
      </w:pPr>
      <w:r>
        <w:rPr>
          <w:szCs w:val="21"/>
          <w:highlight w:val="white"/>
        </w:rPr>
        <w:t>（1）联合体各方应按招标文件提供的格式签订联合体协议书，明确联合体牵头人和各方权利义务；</w:t>
      </w:r>
    </w:p>
    <w:p>
      <w:pPr>
        <w:wordWrap w:val="0"/>
        <w:bidi w:val="0"/>
        <w:spacing w:line="360" w:lineRule="auto"/>
        <w:ind w:firstLine="420" w:firstLineChars="200"/>
        <w:rPr>
          <w:szCs w:val="21"/>
        </w:rPr>
      </w:pPr>
      <w:r>
        <w:rPr>
          <w:szCs w:val="21"/>
          <w:highlight w:val="white"/>
        </w:rPr>
        <w:t>（2）联合体各成员单位应当具备与联合体协议中约定的分工相适应的施工资质和施工能力；</w:t>
      </w:r>
    </w:p>
    <w:p>
      <w:pPr>
        <w:wordWrap w:val="0"/>
        <w:bidi w:val="0"/>
        <w:spacing w:line="360" w:lineRule="auto"/>
        <w:ind w:firstLine="420" w:firstLineChars="200"/>
        <w:rPr>
          <w:szCs w:val="21"/>
        </w:rPr>
      </w:pPr>
      <w:r>
        <w:rPr>
          <w:szCs w:val="21"/>
          <w:highlight w:val="white"/>
        </w:rPr>
        <w:t>（3）联合体各方不得再以自己名义单独或参加其他联合体在同一标段中投标；</w:t>
      </w:r>
    </w:p>
    <w:p>
      <w:pPr>
        <w:wordWrap w:val="0"/>
        <w:bidi w:val="0"/>
        <w:spacing w:line="360" w:lineRule="auto"/>
        <w:ind w:firstLine="420" w:firstLineChars="200"/>
        <w:rPr>
          <w:szCs w:val="21"/>
        </w:rPr>
      </w:pPr>
      <w:r>
        <w:rPr>
          <w:szCs w:val="21"/>
          <w:highlight w:val="white"/>
        </w:rPr>
        <w:t>（4）联合体各方必须指定牵头人，授权其代表所有联合体成员负责投标和合同实施阶段的主办、协调工作，并应当向招标人提交由所有联合体成员法定代表人签署的授权书；</w:t>
      </w:r>
    </w:p>
    <w:p>
      <w:pPr>
        <w:wordWrap w:val="0"/>
        <w:bidi w:val="0"/>
        <w:spacing w:line="360" w:lineRule="auto"/>
        <w:ind w:firstLine="420" w:firstLineChars="200"/>
        <w:rPr>
          <w:szCs w:val="21"/>
        </w:rPr>
      </w:pPr>
      <w:r>
        <w:rPr>
          <w:szCs w:val="21"/>
          <w:highlight w:val="white"/>
        </w:rPr>
        <w:t>（5）招标人要求投标人提交投标保证担保的，应当以联合体各方或者联合体中牵头人的名义提交投标保证担保。以联合体中牵头人名义提交的投标保证担保，对联合体各成员具有约束力。</w:t>
      </w:r>
    </w:p>
    <w:p>
      <w:pPr>
        <w:wordWrap w:val="0"/>
        <w:bidi w:val="0"/>
        <w:spacing w:line="360" w:lineRule="auto"/>
        <w:ind w:firstLine="420" w:firstLineChars="200"/>
        <w:rPr>
          <w:szCs w:val="21"/>
        </w:rPr>
      </w:pPr>
      <w:r>
        <w:rPr>
          <w:szCs w:val="21"/>
          <w:highlight w:val="white"/>
        </w:rPr>
        <w:t>1.4.3 投标人不得存在下列情形之一：</w:t>
      </w:r>
    </w:p>
    <w:p>
      <w:pPr>
        <w:wordWrap w:val="0"/>
        <w:bidi w:val="0"/>
        <w:spacing w:line="360" w:lineRule="auto"/>
        <w:ind w:firstLine="420" w:firstLineChars="200"/>
        <w:rPr>
          <w:szCs w:val="21"/>
        </w:rPr>
      </w:pPr>
      <w:r>
        <w:rPr>
          <w:szCs w:val="21"/>
          <w:highlight w:val="white"/>
        </w:rPr>
        <w:t>（1）为招标人不具有独立法人资格的附属机构（单位）；</w:t>
      </w:r>
    </w:p>
    <w:p>
      <w:pPr>
        <w:wordWrap w:val="0"/>
        <w:bidi w:val="0"/>
        <w:spacing w:line="360" w:lineRule="auto"/>
        <w:ind w:firstLine="420" w:firstLineChars="200"/>
        <w:rPr>
          <w:szCs w:val="21"/>
        </w:rPr>
      </w:pPr>
      <w:r>
        <w:rPr>
          <w:szCs w:val="21"/>
          <w:highlight w:val="white"/>
        </w:rPr>
        <w:t>（2）为本招标项目的监理人、代建人、项目管理人，以及为本招标项目提供招标代理、设计服务的；</w:t>
      </w:r>
    </w:p>
    <w:p>
      <w:pPr>
        <w:wordWrap w:val="0"/>
        <w:bidi w:val="0"/>
        <w:spacing w:line="360" w:lineRule="auto"/>
        <w:ind w:firstLine="420" w:firstLineChars="200"/>
        <w:rPr>
          <w:szCs w:val="21"/>
        </w:rPr>
      </w:pPr>
      <w:r>
        <w:rPr>
          <w:szCs w:val="21"/>
          <w:highlight w:val="white"/>
        </w:rPr>
        <w:t>（3）与本招标项目的监理人、代建人、招标代理机构同为一个法定代表人的，或者相互控股、参股的；</w:t>
      </w:r>
    </w:p>
    <w:p>
      <w:pPr>
        <w:wordWrap w:val="0"/>
        <w:bidi w:val="0"/>
        <w:spacing w:line="360" w:lineRule="auto"/>
        <w:ind w:firstLine="420" w:firstLineChars="200"/>
        <w:rPr>
          <w:szCs w:val="21"/>
        </w:rPr>
      </w:pPr>
      <w:r>
        <w:rPr>
          <w:szCs w:val="21"/>
          <w:highlight w:val="white"/>
        </w:rPr>
        <w:t>（4）与招标人存在利害关系可能影响招标公正性的；</w:t>
      </w:r>
    </w:p>
    <w:p>
      <w:pPr>
        <w:wordWrap w:val="0"/>
        <w:bidi w:val="0"/>
        <w:spacing w:line="360" w:lineRule="auto"/>
        <w:ind w:firstLine="420" w:firstLineChars="200"/>
        <w:rPr>
          <w:szCs w:val="21"/>
        </w:rPr>
      </w:pPr>
      <w:r>
        <w:rPr>
          <w:szCs w:val="21"/>
          <w:highlight w:val="white"/>
        </w:rPr>
        <w:t>（5）单位负责人为同一人或者存在控股、管理关系的不同单位；</w:t>
      </w:r>
    </w:p>
    <w:p>
      <w:pPr>
        <w:wordWrap w:val="0"/>
        <w:bidi w:val="0"/>
        <w:spacing w:line="360" w:lineRule="auto"/>
        <w:ind w:firstLine="420" w:firstLineChars="200"/>
        <w:rPr>
          <w:szCs w:val="21"/>
        </w:rPr>
      </w:pPr>
      <w:r>
        <w:rPr>
          <w:szCs w:val="21"/>
          <w:highlight w:val="white"/>
        </w:rPr>
        <w:t>（6）处于被责令停业、财产被接管、冻结和破产状态，以及投标资格被取消或者被暂停且在暂停期内；</w:t>
      </w:r>
    </w:p>
    <w:p>
      <w:pPr>
        <w:wordWrap w:val="0"/>
        <w:bidi w:val="0"/>
        <w:spacing w:line="360" w:lineRule="auto"/>
        <w:ind w:firstLine="420" w:firstLineChars="200"/>
        <w:rPr>
          <w:szCs w:val="21"/>
        </w:rPr>
      </w:pPr>
      <w:r>
        <w:rPr>
          <w:szCs w:val="21"/>
          <w:highlight w:val="white"/>
        </w:rPr>
        <w:t>（7）因拖欠工人工资或者发生质量安全事故被有关部门限制在招标项目所在地承接工程的；</w:t>
      </w:r>
    </w:p>
    <w:p>
      <w:pPr>
        <w:wordWrap w:val="0"/>
        <w:bidi w:val="0"/>
        <w:spacing w:line="360" w:lineRule="auto"/>
        <w:ind w:firstLine="420" w:firstLineChars="200"/>
        <w:rPr>
          <w:rFonts w:hint="eastAsia"/>
          <w:szCs w:val="21"/>
        </w:rPr>
      </w:pPr>
      <w:r>
        <w:rPr>
          <w:szCs w:val="21"/>
          <w:highlight w:val="white"/>
        </w:rPr>
        <w:t>（8）投标人近3年内有行贿犯罪行为且被记录，或者法定代表人有行贿犯罪记录且自记录之日起未超过5年的。</w:t>
      </w:r>
    </w:p>
    <w:p>
      <w:pPr>
        <w:pStyle w:val="4"/>
        <w:wordWrap w:val="0"/>
        <w:bidi w:val="0"/>
      </w:pPr>
      <w:bookmarkStart w:id="18" w:name="_Toc439"/>
      <w:r>
        <w:rPr>
          <w:highlight w:val="white"/>
        </w:rPr>
        <w:t>1.5 费用承担</w:t>
      </w:r>
      <w:bookmarkEnd w:id="18"/>
    </w:p>
    <w:p>
      <w:pPr>
        <w:wordWrap w:val="0"/>
        <w:bidi w:val="0"/>
        <w:spacing w:line="360" w:lineRule="auto"/>
        <w:ind w:firstLine="420" w:firstLineChars="200"/>
        <w:rPr>
          <w:szCs w:val="21"/>
        </w:rPr>
      </w:pPr>
      <w:r>
        <w:rPr>
          <w:szCs w:val="21"/>
          <w:highlight w:val="white"/>
        </w:rPr>
        <w:t>投标人准备和参加投标活动发生的费用自理。</w:t>
      </w:r>
    </w:p>
    <w:p>
      <w:pPr>
        <w:pStyle w:val="4"/>
        <w:wordWrap w:val="0"/>
        <w:bidi w:val="0"/>
      </w:pPr>
      <w:bookmarkStart w:id="19" w:name="_Toc26016"/>
      <w:r>
        <w:rPr>
          <w:highlight w:val="white"/>
        </w:rPr>
        <w:t>1.6 保密</w:t>
      </w:r>
      <w:bookmarkEnd w:id="19"/>
    </w:p>
    <w:p>
      <w:pPr>
        <w:wordWrap w:val="0"/>
        <w:bidi w:val="0"/>
        <w:spacing w:line="360" w:lineRule="auto"/>
        <w:ind w:firstLine="420" w:firstLineChars="200"/>
        <w:rPr>
          <w:szCs w:val="21"/>
        </w:rPr>
      </w:pPr>
      <w:r>
        <w:rPr>
          <w:szCs w:val="21"/>
          <w:highlight w:val="white"/>
        </w:rPr>
        <w:t>参与招标投标活动的各方应对招标文件和投标文件中的商业和技术等秘密保密，违者应对由此造成的后果承担法律责任。</w:t>
      </w:r>
    </w:p>
    <w:p>
      <w:pPr>
        <w:pStyle w:val="4"/>
        <w:wordWrap w:val="0"/>
        <w:bidi w:val="0"/>
      </w:pPr>
      <w:bookmarkStart w:id="20" w:name="_Toc17754"/>
      <w:r>
        <w:rPr>
          <w:highlight w:val="white"/>
        </w:rPr>
        <w:t>1.7 语言文字</w:t>
      </w:r>
      <w:bookmarkEnd w:id="20"/>
    </w:p>
    <w:p>
      <w:pPr>
        <w:wordWrap w:val="0"/>
        <w:bidi w:val="0"/>
        <w:spacing w:line="360" w:lineRule="auto"/>
        <w:ind w:firstLine="420" w:firstLineChars="200"/>
        <w:rPr>
          <w:szCs w:val="21"/>
        </w:rPr>
      </w:pPr>
      <w:r>
        <w:rPr>
          <w:szCs w:val="21"/>
          <w:highlight w:val="white"/>
        </w:rPr>
        <w:t>除专用术语外，与招标投标有关的语言均使用中文，必要时专用术语应附有中文注释。</w:t>
      </w:r>
    </w:p>
    <w:p>
      <w:pPr>
        <w:pStyle w:val="4"/>
        <w:wordWrap w:val="0"/>
        <w:bidi w:val="0"/>
      </w:pPr>
      <w:bookmarkStart w:id="21" w:name="_Toc4091"/>
      <w:r>
        <w:rPr>
          <w:highlight w:val="white"/>
        </w:rPr>
        <w:t>1.8 计量单位</w:t>
      </w:r>
      <w:bookmarkEnd w:id="21"/>
    </w:p>
    <w:p>
      <w:pPr>
        <w:wordWrap w:val="0"/>
        <w:bidi w:val="0"/>
        <w:spacing w:line="360" w:lineRule="auto"/>
        <w:ind w:firstLine="420" w:firstLineChars="200"/>
        <w:rPr>
          <w:szCs w:val="21"/>
        </w:rPr>
      </w:pPr>
      <w:r>
        <w:rPr>
          <w:szCs w:val="21"/>
          <w:highlight w:val="white"/>
        </w:rPr>
        <w:t>所有计量均采用中华人民共和国法定计量单位。</w:t>
      </w:r>
    </w:p>
    <w:p>
      <w:pPr>
        <w:pStyle w:val="4"/>
        <w:wordWrap w:val="0"/>
        <w:bidi w:val="0"/>
      </w:pPr>
      <w:bookmarkStart w:id="22" w:name="_Toc3610"/>
      <w:r>
        <w:rPr>
          <w:highlight w:val="white"/>
        </w:rPr>
        <w:t>1.9 踏勘现场</w:t>
      </w:r>
      <w:bookmarkEnd w:id="22"/>
    </w:p>
    <w:p>
      <w:pPr>
        <w:wordWrap w:val="0"/>
        <w:bidi w:val="0"/>
        <w:spacing w:line="360" w:lineRule="auto"/>
        <w:ind w:firstLine="420" w:firstLineChars="200"/>
        <w:rPr>
          <w:szCs w:val="21"/>
        </w:rPr>
      </w:pPr>
      <w:r>
        <w:rPr>
          <w:szCs w:val="21"/>
          <w:highlight w:val="white"/>
        </w:rPr>
        <w:t>1.9.1 投标人根据需要自行踏勘项目现场。</w:t>
      </w:r>
    </w:p>
    <w:p>
      <w:pPr>
        <w:wordWrap w:val="0"/>
        <w:bidi w:val="0"/>
        <w:spacing w:line="360" w:lineRule="auto"/>
        <w:ind w:firstLine="420" w:firstLineChars="200"/>
        <w:rPr>
          <w:szCs w:val="21"/>
        </w:rPr>
      </w:pPr>
      <w:r>
        <w:rPr>
          <w:szCs w:val="21"/>
          <w:highlight w:val="white"/>
        </w:rPr>
        <w:t>1.9.2 投标人踏勘现场发生的费用自理。</w:t>
      </w:r>
    </w:p>
    <w:p>
      <w:pPr>
        <w:wordWrap w:val="0"/>
        <w:bidi w:val="0"/>
        <w:spacing w:line="360" w:lineRule="auto"/>
        <w:ind w:firstLine="420" w:firstLineChars="200"/>
        <w:rPr>
          <w:szCs w:val="21"/>
        </w:rPr>
      </w:pPr>
      <w:r>
        <w:rPr>
          <w:szCs w:val="21"/>
          <w:highlight w:val="white"/>
        </w:rPr>
        <w:t>1.9.3 投标人自行负责在踏勘现场中所发生的人员伤亡和财产损失。</w:t>
      </w:r>
    </w:p>
    <w:p>
      <w:pPr>
        <w:pStyle w:val="4"/>
        <w:wordWrap w:val="0"/>
        <w:bidi w:val="0"/>
      </w:pPr>
      <w:bookmarkStart w:id="23" w:name="_Toc26478"/>
      <w:r>
        <w:rPr>
          <w:highlight w:val="white"/>
        </w:rPr>
        <w:t>1.10分包</w:t>
      </w:r>
      <w:bookmarkEnd w:id="23"/>
    </w:p>
    <w:p>
      <w:pPr>
        <w:wordWrap w:val="0"/>
        <w:bidi w:val="0"/>
        <w:spacing w:line="360" w:lineRule="auto"/>
        <w:ind w:firstLine="420" w:firstLineChars="200"/>
        <w:rPr>
          <w:szCs w:val="21"/>
        </w:rPr>
      </w:pPr>
      <w:r>
        <w:rPr>
          <w:szCs w:val="21"/>
          <w:highlight w:val="white"/>
        </w:rPr>
        <w:t>投标人拟在中标后将中标项目的部分非主体、非关键性工作进行分包的，应符合“投标人须知前附表”规定的分包内容、分包金额和接受分包的第三人资质要求等限制性条件。</w:t>
      </w:r>
    </w:p>
    <w:p>
      <w:pPr>
        <w:pStyle w:val="4"/>
        <w:wordWrap w:val="0"/>
        <w:bidi w:val="0"/>
      </w:pPr>
      <w:bookmarkStart w:id="24" w:name="_Toc22350"/>
      <w:r>
        <w:rPr>
          <w:highlight w:val="white"/>
        </w:rPr>
        <w:t>1.11 偏离</w:t>
      </w:r>
      <w:bookmarkEnd w:id="24"/>
    </w:p>
    <w:p>
      <w:pPr>
        <w:wordWrap w:val="0"/>
        <w:bidi w:val="0"/>
        <w:spacing w:line="360" w:lineRule="auto"/>
        <w:ind w:firstLine="359" w:firstLineChars="171"/>
      </w:pPr>
      <w:r>
        <w:rPr>
          <w:highlight w:val="white"/>
        </w:rPr>
        <w:t>投标人须知前附表允许投标文件偏离招标文件某些要求的，偏离应当符合招标文件规定的偏离范围和幅度。</w:t>
      </w:r>
    </w:p>
    <w:p>
      <w:pPr>
        <w:pStyle w:val="4"/>
        <w:wordWrap w:val="0"/>
        <w:bidi w:val="0"/>
      </w:pPr>
      <w:bookmarkStart w:id="25" w:name="_Toc28487"/>
      <w:r>
        <w:rPr>
          <w:highlight w:val="white"/>
        </w:rPr>
        <w:t>1.12知识产权</w:t>
      </w:r>
      <w:bookmarkEnd w:id="25"/>
    </w:p>
    <w:p>
      <w:pPr>
        <w:wordWrap w:val="0"/>
        <w:bidi w:val="0"/>
        <w:spacing w:line="360" w:lineRule="auto"/>
        <w:ind w:firstLine="359" w:firstLineChars="171"/>
      </w:pPr>
      <w:r>
        <w:rPr>
          <w:highlight w:val="white"/>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p>
      <w:pPr>
        <w:pStyle w:val="4"/>
        <w:wordWrap w:val="0"/>
        <w:bidi w:val="0"/>
      </w:pPr>
      <w:bookmarkStart w:id="26" w:name="_Toc7937"/>
      <w:r>
        <w:rPr>
          <w:highlight w:val="white"/>
        </w:rPr>
        <w:t>1.13同义词语</w:t>
      </w:r>
      <w:bookmarkEnd w:id="26"/>
    </w:p>
    <w:p>
      <w:pPr>
        <w:wordWrap w:val="0"/>
        <w:bidi w:val="0"/>
        <w:spacing w:line="360" w:lineRule="auto"/>
        <w:ind w:firstLine="359" w:firstLineChars="171"/>
      </w:pPr>
      <w:r>
        <w:rPr>
          <w:highlight w:val="white"/>
        </w:rPr>
        <w:t>构成招标文件组成部分的“通用合同条款”、“专用合同条款”、“技术标准和要求”和“工程量清单”等章节中出现的措辞“发包人”和“承包人”，在招标投标阶段应当分别按“招标人”和“投标人”进行理解。</w:t>
      </w:r>
    </w:p>
    <w:p>
      <w:pPr>
        <w:bidi w:val="0"/>
        <w:rPr>
          <w:rFonts w:hint="eastAsia"/>
          <w:highlight w:val="cyan"/>
        </w:rPr>
      </w:pPr>
      <w:r>
        <w:rPr>
          <w:color w:val="000080"/>
          <w:sz w:val="20"/>
          <w:highlight w:val="white"/>
        </w:rPr>
        <w:t xml:space="preserve"> </w:t>
      </w:r>
    </w:p>
    <w:p>
      <w:pPr>
        <w:bidi w:val="0"/>
        <w:rPr>
          <w:highlight w:val="yellow"/>
        </w:rPr>
      </w:pPr>
      <w:r>
        <w:rPr>
          <w:color w:val="000080"/>
          <w:sz w:val="20"/>
          <w:highlight w:val="white"/>
        </w:rPr>
        <w:t xml:space="preserve">  </w:t>
      </w:r>
    </w:p>
    <w:p>
      <w:pPr>
        <w:pStyle w:val="3"/>
        <w:wordWrap w:val="0"/>
        <w:bidi w:val="0"/>
        <w:spacing w:line="360" w:lineRule="auto"/>
        <w:rPr>
          <w:rFonts w:ascii="Times New Roman" w:hAnsi="Times New Roman"/>
        </w:rPr>
      </w:pPr>
      <w:bookmarkStart w:id="27" w:name="_Toc23953"/>
      <w:r>
        <w:rPr>
          <w:rFonts w:ascii="Times New Roman" w:hAnsi="Times New Roman"/>
          <w:highlight w:val="white"/>
        </w:rPr>
        <w:t>2 招标文件</w:t>
      </w:r>
      <w:bookmarkEnd w:id="27"/>
    </w:p>
    <w:p>
      <w:pPr>
        <w:pStyle w:val="4"/>
        <w:wordWrap w:val="0"/>
        <w:bidi w:val="0"/>
      </w:pPr>
      <w:bookmarkStart w:id="28" w:name="_Toc23186"/>
      <w:r>
        <w:rPr>
          <w:highlight w:val="white"/>
        </w:rPr>
        <w:t>2.1 招标文件的组成</w:t>
      </w:r>
      <w:bookmarkEnd w:id="28"/>
    </w:p>
    <w:p>
      <w:pPr>
        <w:wordWrap w:val="0"/>
        <w:bidi w:val="0"/>
        <w:spacing w:line="360" w:lineRule="auto"/>
        <w:ind w:firstLine="420" w:firstLineChars="200"/>
        <w:rPr>
          <w:szCs w:val="21"/>
        </w:rPr>
      </w:pPr>
      <w:r>
        <w:rPr>
          <w:szCs w:val="21"/>
          <w:highlight w:val="white"/>
        </w:rPr>
        <w:t>2.1.1 本招标文件包括：</w:t>
      </w:r>
    </w:p>
    <w:p>
      <w:pPr>
        <w:wordWrap w:val="0"/>
        <w:bidi w:val="0"/>
        <w:spacing w:line="360" w:lineRule="auto"/>
        <w:ind w:firstLine="420" w:firstLineChars="200"/>
        <w:rPr>
          <w:szCs w:val="21"/>
        </w:rPr>
      </w:pPr>
      <w:r>
        <w:rPr>
          <w:szCs w:val="21"/>
          <w:highlight w:val="white"/>
        </w:rPr>
        <w:t>（1）招标公告；</w:t>
      </w:r>
    </w:p>
    <w:p>
      <w:pPr>
        <w:wordWrap w:val="0"/>
        <w:bidi w:val="0"/>
        <w:spacing w:line="360" w:lineRule="auto"/>
        <w:ind w:firstLine="420" w:firstLineChars="200"/>
        <w:rPr>
          <w:szCs w:val="21"/>
        </w:rPr>
      </w:pPr>
      <w:r>
        <w:rPr>
          <w:szCs w:val="21"/>
          <w:highlight w:val="white"/>
        </w:rPr>
        <w:t>（2）投标人须知；</w:t>
      </w:r>
    </w:p>
    <w:p>
      <w:pPr>
        <w:wordWrap w:val="0"/>
        <w:bidi w:val="0"/>
        <w:spacing w:line="360" w:lineRule="auto"/>
        <w:ind w:firstLine="420" w:firstLineChars="200"/>
        <w:rPr>
          <w:szCs w:val="21"/>
        </w:rPr>
      </w:pPr>
      <w:r>
        <w:rPr>
          <w:szCs w:val="21"/>
          <w:highlight w:val="white"/>
        </w:rPr>
        <w:t>（3）评标办法；</w:t>
      </w:r>
    </w:p>
    <w:p>
      <w:pPr>
        <w:wordWrap w:val="0"/>
        <w:bidi w:val="0"/>
        <w:spacing w:line="360" w:lineRule="auto"/>
        <w:ind w:firstLine="420" w:firstLineChars="200"/>
        <w:rPr>
          <w:szCs w:val="21"/>
        </w:rPr>
      </w:pPr>
      <w:r>
        <w:rPr>
          <w:szCs w:val="21"/>
          <w:highlight w:val="white"/>
        </w:rPr>
        <w:t>（4）合同条款及格式；</w:t>
      </w:r>
    </w:p>
    <w:p>
      <w:pPr>
        <w:wordWrap w:val="0"/>
        <w:bidi w:val="0"/>
        <w:spacing w:line="360" w:lineRule="auto"/>
        <w:ind w:firstLine="420" w:firstLineChars="200"/>
        <w:rPr>
          <w:szCs w:val="21"/>
        </w:rPr>
      </w:pPr>
      <w:r>
        <w:rPr>
          <w:szCs w:val="21"/>
          <w:highlight w:val="white"/>
        </w:rPr>
        <w:t>（5）工程量清单；</w:t>
      </w:r>
    </w:p>
    <w:p>
      <w:pPr>
        <w:wordWrap w:val="0"/>
        <w:bidi w:val="0"/>
        <w:spacing w:line="360" w:lineRule="auto"/>
        <w:ind w:firstLine="420" w:firstLineChars="200"/>
        <w:rPr>
          <w:szCs w:val="21"/>
        </w:rPr>
      </w:pPr>
      <w:r>
        <w:rPr>
          <w:szCs w:val="21"/>
          <w:highlight w:val="white"/>
        </w:rPr>
        <w:t>（</w:t>
      </w:r>
      <w:r>
        <w:rPr>
          <w:rFonts w:hint="eastAsia"/>
          <w:szCs w:val="21"/>
          <w:highlight w:val="white"/>
          <w:lang w:val="en-US" w:eastAsia="zh-CN"/>
        </w:rPr>
        <w:t>6</w:t>
      </w:r>
      <w:r>
        <w:rPr>
          <w:szCs w:val="21"/>
          <w:highlight w:val="white"/>
        </w:rPr>
        <w:t>）技术标准和要求；</w:t>
      </w:r>
    </w:p>
    <w:p>
      <w:pPr>
        <w:wordWrap w:val="0"/>
        <w:bidi w:val="0"/>
        <w:spacing w:line="360" w:lineRule="auto"/>
        <w:ind w:firstLine="420" w:firstLineChars="200"/>
        <w:rPr>
          <w:szCs w:val="21"/>
        </w:rPr>
      </w:pPr>
      <w:r>
        <w:rPr>
          <w:szCs w:val="21"/>
          <w:highlight w:val="white"/>
        </w:rPr>
        <w:t>（</w:t>
      </w:r>
      <w:r>
        <w:rPr>
          <w:rFonts w:hint="eastAsia"/>
          <w:szCs w:val="21"/>
          <w:highlight w:val="white"/>
          <w:lang w:val="en-US" w:eastAsia="zh-CN"/>
        </w:rPr>
        <w:t>7</w:t>
      </w:r>
      <w:r>
        <w:rPr>
          <w:szCs w:val="21"/>
          <w:highlight w:val="white"/>
        </w:rPr>
        <w:t>）投标文件格式；</w:t>
      </w:r>
    </w:p>
    <w:p>
      <w:pPr>
        <w:wordWrap w:val="0"/>
        <w:bidi w:val="0"/>
        <w:spacing w:line="360" w:lineRule="auto"/>
        <w:ind w:firstLine="420" w:firstLineChars="200"/>
        <w:rPr>
          <w:szCs w:val="21"/>
        </w:rPr>
      </w:pPr>
      <w:r>
        <w:rPr>
          <w:szCs w:val="21"/>
          <w:highlight w:val="white"/>
        </w:rPr>
        <w:t>（</w:t>
      </w:r>
      <w:r>
        <w:rPr>
          <w:rFonts w:hint="eastAsia"/>
          <w:szCs w:val="21"/>
          <w:highlight w:val="white"/>
          <w:lang w:val="en-US" w:eastAsia="zh-CN"/>
        </w:rPr>
        <w:t>8</w:t>
      </w:r>
      <w:r>
        <w:rPr>
          <w:szCs w:val="21"/>
          <w:highlight w:val="white"/>
        </w:rPr>
        <w:t>）“投标人须知前附表”规定的其他材料。</w:t>
      </w:r>
    </w:p>
    <w:p>
      <w:pPr>
        <w:wordWrap w:val="0"/>
        <w:bidi w:val="0"/>
        <w:spacing w:line="360" w:lineRule="auto"/>
        <w:ind w:firstLine="420" w:firstLineChars="200"/>
        <w:rPr>
          <w:szCs w:val="21"/>
        </w:rPr>
      </w:pPr>
      <w:r>
        <w:rPr>
          <w:szCs w:val="21"/>
          <w:highlight w:val="white"/>
        </w:rPr>
        <w:t>2.1.2 根据本章第2.2款和第2.3款对招标文件所作的澄清、修改，构成招标文件的组成部分。招标文件的澄清、修改内容前后相互矛盾时，以发布时间在后的文件为准。</w:t>
      </w:r>
    </w:p>
    <w:p>
      <w:pPr>
        <w:pStyle w:val="4"/>
        <w:wordWrap w:val="0"/>
        <w:bidi w:val="0"/>
      </w:pPr>
      <w:bookmarkStart w:id="29" w:name="_Toc5037"/>
      <w:r>
        <w:rPr>
          <w:highlight w:val="white"/>
        </w:rPr>
        <w:t>2.2 招标文件的澄清</w:t>
      </w:r>
      <w:bookmarkEnd w:id="29"/>
    </w:p>
    <w:p>
      <w:pPr>
        <w:wordWrap w:val="0"/>
        <w:bidi w:val="0"/>
        <w:spacing w:line="360" w:lineRule="auto"/>
        <w:ind w:firstLine="420" w:firstLineChars="200"/>
        <w:rPr>
          <w:szCs w:val="21"/>
        </w:rPr>
      </w:pPr>
      <w:r>
        <w:rPr>
          <w:szCs w:val="21"/>
          <w:highlight w:val="white"/>
        </w:rPr>
        <w:t>2.2.1 投标人应仔细阅读和检查招标文件的全部内容，投标人如有疑问，应在投标人须知前附表规定的时间</w:t>
      </w:r>
      <w:r>
        <w:rPr>
          <w:rFonts w:hint="eastAsia"/>
          <w:szCs w:val="21"/>
          <w:highlight w:val="white"/>
          <w:lang w:eastAsia="zh-CN"/>
        </w:rPr>
        <w:t>前提出</w:t>
      </w:r>
      <w:r>
        <w:rPr>
          <w:szCs w:val="21"/>
          <w:highlight w:val="white"/>
        </w:rPr>
        <w:t>，要求招标人对招标文件予以澄清。</w:t>
      </w:r>
    </w:p>
    <w:p>
      <w:pPr>
        <w:wordWrap w:val="0"/>
        <w:bidi w:val="0"/>
        <w:spacing w:line="360" w:lineRule="auto"/>
        <w:ind w:firstLine="420" w:firstLineChars="200"/>
        <w:rPr>
          <w:szCs w:val="21"/>
        </w:rPr>
      </w:pPr>
      <w:r>
        <w:rPr>
          <w:szCs w:val="21"/>
          <w:highlight w:val="white"/>
        </w:rPr>
        <w:t>投标人不在澄清期限内提出，招标人有权不予答复。</w:t>
      </w:r>
    </w:p>
    <w:p>
      <w:pPr>
        <w:wordWrap w:val="0"/>
        <w:bidi w:val="0"/>
        <w:spacing w:line="360" w:lineRule="auto"/>
        <w:ind w:firstLine="420" w:firstLineChars="200"/>
        <w:rPr>
          <w:szCs w:val="21"/>
        </w:rPr>
      </w:pPr>
      <w:r>
        <w:rPr>
          <w:szCs w:val="21"/>
          <w:highlight w:val="white"/>
        </w:rPr>
        <w:t>2.2.2 招标文件的澄清将在投标人须知前附表规定时间前</w:t>
      </w:r>
      <w:r>
        <w:rPr>
          <w:kern w:val="0"/>
          <w:szCs w:val="21"/>
          <w:highlight w:val="white"/>
        </w:rPr>
        <w:t>通过</w:t>
      </w:r>
      <w:r>
        <w:rPr>
          <w:szCs w:val="21"/>
          <w:highlight w:val="white"/>
        </w:rPr>
        <w:t>“</w:t>
      </w:r>
      <w:r>
        <w:rPr>
          <w:rFonts w:hint="eastAsia"/>
          <w:highlight w:val="white"/>
          <w:lang w:val="en-US" w:eastAsia="zh-CN"/>
        </w:rPr>
        <w:t>宿迁市第一人民医院网站</w:t>
      </w:r>
      <w:r>
        <w:rPr>
          <w:szCs w:val="21"/>
          <w:highlight w:val="white"/>
        </w:rPr>
        <w:t>”</w:t>
      </w:r>
      <w:r>
        <w:rPr>
          <w:rFonts w:hint="eastAsia"/>
          <w:szCs w:val="21"/>
          <w:highlight w:val="white"/>
          <w:lang w:eastAsia="zh-CN"/>
        </w:rPr>
        <w:t>发布澄清公告</w:t>
      </w:r>
      <w:r>
        <w:rPr>
          <w:szCs w:val="21"/>
          <w:highlight w:val="white"/>
        </w:rPr>
        <w:t>，但招标人不指明澄清问题的来源，招标人不再另行通知。</w:t>
      </w:r>
    </w:p>
    <w:p>
      <w:pPr>
        <w:wordWrap w:val="0"/>
        <w:bidi w:val="0"/>
        <w:spacing w:line="360" w:lineRule="auto"/>
        <w:ind w:firstLine="420" w:firstLineChars="200"/>
        <w:rPr>
          <w:szCs w:val="21"/>
        </w:rPr>
      </w:pPr>
      <w:r>
        <w:rPr>
          <w:szCs w:val="21"/>
          <w:highlight w:val="white"/>
        </w:rPr>
        <w:t>2.2.3澄清文件按本章第2.2.2款规定发出之时起，视为投标人已收到该澄清文件。投标人未及时通过“</w:t>
      </w:r>
      <w:r>
        <w:rPr>
          <w:rFonts w:hint="eastAsia"/>
          <w:highlight w:val="white"/>
          <w:lang w:val="en-US" w:eastAsia="zh-CN"/>
        </w:rPr>
        <w:t>宿迁市第一人民医院网站</w:t>
      </w:r>
      <w:r>
        <w:rPr>
          <w:szCs w:val="21"/>
          <w:highlight w:val="white"/>
        </w:rPr>
        <w:t>”查阅招标文件的澄清，或未按照澄清后的招标文件编制投标文件，由此造成的后果由投标人自行承担。</w:t>
      </w:r>
    </w:p>
    <w:p>
      <w:pPr>
        <w:pStyle w:val="4"/>
        <w:wordWrap w:val="0"/>
        <w:bidi w:val="0"/>
      </w:pPr>
      <w:bookmarkStart w:id="30" w:name="_Toc2419"/>
      <w:r>
        <w:rPr>
          <w:highlight w:val="white"/>
        </w:rPr>
        <w:t>2.3 招标文件的修改</w:t>
      </w:r>
      <w:bookmarkEnd w:id="30"/>
    </w:p>
    <w:p>
      <w:pPr>
        <w:wordWrap w:val="0"/>
        <w:bidi w:val="0"/>
        <w:spacing w:line="360" w:lineRule="auto"/>
        <w:ind w:firstLine="420" w:firstLineChars="200"/>
        <w:rPr>
          <w:rFonts w:hint="eastAsia" w:eastAsia="宋体" w:cs="Times New Roman"/>
          <w:highlight w:val="white"/>
        </w:rPr>
      </w:pPr>
      <w:r>
        <w:rPr>
          <w:rFonts w:hint="eastAsia" w:eastAsia="宋体" w:cs="Times New Roman"/>
          <w:highlight w:val="white"/>
        </w:rPr>
        <w:t>2.3.1 招标文件发布后，招标人确需对招标文件进行修改的，招标人将通过“</w:t>
      </w:r>
      <w:r>
        <w:rPr>
          <w:rFonts w:hint="eastAsia"/>
          <w:highlight w:val="white"/>
          <w:lang w:val="en-US" w:eastAsia="zh-CN"/>
        </w:rPr>
        <w:t>宿迁市第一人民医院网站</w:t>
      </w:r>
      <w:r>
        <w:rPr>
          <w:rFonts w:hint="eastAsia" w:eastAsia="宋体" w:cs="Times New Roman"/>
          <w:highlight w:val="white"/>
        </w:rPr>
        <w:t>”</w:t>
      </w:r>
      <w:r>
        <w:rPr>
          <w:rFonts w:hint="eastAsia" w:eastAsia="宋体" w:cs="Times New Roman"/>
          <w:highlight w:val="white"/>
          <w:lang w:eastAsia="zh-CN"/>
        </w:rPr>
        <w:t>告知</w:t>
      </w:r>
      <w:r>
        <w:rPr>
          <w:rFonts w:hint="eastAsia" w:eastAsia="宋体" w:cs="Times New Roman"/>
          <w:highlight w:val="white"/>
        </w:rPr>
        <w:t>所有投标人。</w:t>
      </w:r>
    </w:p>
    <w:p>
      <w:pPr>
        <w:wordWrap w:val="0"/>
        <w:bidi w:val="0"/>
        <w:spacing w:line="360" w:lineRule="auto"/>
        <w:ind w:firstLine="420" w:firstLineChars="200"/>
        <w:rPr>
          <w:szCs w:val="21"/>
        </w:rPr>
      </w:pPr>
      <w:r>
        <w:rPr>
          <w:rFonts w:hint="eastAsia" w:eastAsia="宋体" w:cs="Times New Roman"/>
          <w:highlight w:val="white"/>
        </w:rPr>
        <w:t>2.3.2修改文件按本章第2.3.1款规定发出之时起，视为投标人已收到该修改</w:t>
      </w:r>
      <w:r>
        <w:rPr>
          <w:szCs w:val="21"/>
          <w:highlight w:val="white"/>
        </w:rPr>
        <w:t>文件。投标人未及时通过“</w:t>
      </w:r>
      <w:r>
        <w:rPr>
          <w:rFonts w:hint="eastAsia"/>
          <w:highlight w:val="white"/>
          <w:lang w:val="en-US" w:eastAsia="zh-CN"/>
        </w:rPr>
        <w:t>宿迁市第一人民医院网站</w:t>
      </w:r>
      <w:r>
        <w:rPr>
          <w:szCs w:val="21"/>
          <w:highlight w:val="white"/>
        </w:rPr>
        <w:t>”查阅招标文件的修改，或未按照修改后的招标文件编制投标文件，由此造成的后果由投标人自行承担。</w:t>
      </w:r>
    </w:p>
    <w:p>
      <w:pPr>
        <w:pStyle w:val="4"/>
        <w:wordWrap w:val="0"/>
        <w:bidi w:val="0"/>
      </w:pPr>
      <w:bookmarkStart w:id="31" w:name="_Toc28812"/>
      <w:r>
        <w:rPr>
          <w:highlight w:val="white"/>
        </w:rPr>
        <w:t>2.4 招标控制价</w:t>
      </w:r>
      <w:bookmarkEnd w:id="31"/>
    </w:p>
    <w:p>
      <w:pPr>
        <w:pStyle w:val="5"/>
        <w:wordWrap w:val="0"/>
        <w:bidi w:val="0"/>
        <w:spacing w:line="360" w:lineRule="auto"/>
        <w:ind w:firstLine="420" w:firstLineChars="200"/>
        <w:jc w:val="both"/>
        <w:rPr>
          <w:szCs w:val="21"/>
        </w:rPr>
      </w:pPr>
      <w:r>
        <w:rPr>
          <w:highlight w:val="white"/>
        </w:rPr>
        <w:t>招标控制价，是招标人根据国家或省级、行业建设主管部门颁发的有关计价依据和办法，以及本招标文件和招标工程量清单，结合工程具体情况编制的本次招标工程的最高投标限价。</w:t>
      </w:r>
      <w:r>
        <w:rPr>
          <w:szCs w:val="21"/>
          <w:highlight w:val="white"/>
        </w:rPr>
        <w:t>本工程招标控制价金额见“投标人须知前附表”，</w:t>
      </w:r>
      <w:r>
        <w:rPr>
          <w:highlight w:val="white"/>
        </w:rPr>
        <w:t>招标控制价文件随本项目招标文件同步发</w:t>
      </w:r>
      <w:r>
        <w:rPr>
          <w:rFonts w:hint="eastAsia"/>
          <w:highlight w:val="white"/>
          <w:lang w:val="en-US" w:eastAsia="zh-CN"/>
        </w:rPr>
        <w:t>出</w:t>
      </w:r>
      <w:r>
        <w:rPr>
          <w:highlight w:val="white"/>
        </w:rPr>
        <w:t>。</w:t>
      </w:r>
      <w:r>
        <w:rPr>
          <w:szCs w:val="21"/>
          <w:highlight w:val="white"/>
        </w:rPr>
        <w:t>招标人确需对已发布的</w:t>
      </w:r>
      <w:r>
        <w:rPr>
          <w:highlight w:val="white"/>
        </w:rPr>
        <w:t>招标控制价</w:t>
      </w:r>
      <w:r>
        <w:rPr>
          <w:szCs w:val="21"/>
          <w:highlight w:val="white"/>
        </w:rPr>
        <w:t>进行修改的，将</w:t>
      </w:r>
      <w:r>
        <w:rPr>
          <w:kern w:val="0"/>
          <w:szCs w:val="21"/>
          <w:highlight w:val="white"/>
        </w:rPr>
        <w:t>通过</w:t>
      </w:r>
      <w:r>
        <w:rPr>
          <w:szCs w:val="21"/>
          <w:highlight w:val="white"/>
        </w:rPr>
        <w:t>“</w:t>
      </w:r>
      <w:r>
        <w:rPr>
          <w:rFonts w:hint="eastAsia"/>
          <w:szCs w:val="21"/>
          <w:highlight w:val="white"/>
          <w:lang w:val="en-US" w:eastAsia="zh-CN"/>
        </w:rPr>
        <w:t>邮件形式</w:t>
      </w:r>
      <w:r>
        <w:rPr>
          <w:szCs w:val="21"/>
          <w:highlight w:val="white"/>
        </w:rPr>
        <w:t>”发给所有投标人。</w:t>
      </w:r>
    </w:p>
    <w:p>
      <w:pPr>
        <w:bidi w:val="0"/>
        <w:rPr>
          <w:highlight w:val="cyan"/>
        </w:rPr>
      </w:pPr>
      <w:r>
        <w:rPr>
          <w:color w:val="000080"/>
          <w:sz w:val="20"/>
          <w:highlight w:val="white"/>
        </w:rPr>
        <w:t xml:space="preserve"> </w:t>
      </w:r>
    </w:p>
    <w:p>
      <w:pPr>
        <w:bidi w:val="0"/>
        <w:rPr>
          <w:rFonts w:hint="eastAsia"/>
          <w:highlight w:val="yellow"/>
        </w:rPr>
      </w:pPr>
      <w:r>
        <w:rPr>
          <w:color w:val="000080"/>
          <w:sz w:val="20"/>
          <w:highlight w:val="white"/>
        </w:rPr>
        <w:t xml:space="preserve">  </w:t>
      </w:r>
    </w:p>
    <w:p>
      <w:pPr>
        <w:pStyle w:val="3"/>
        <w:wordWrap w:val="0"/>
        <w:bidi w:val="0"/>
        <w:spacing w:line="360" w:lineRule="auto"/>
        <w:rPr>
          <w:rFonts w:ascii="Times New Roman" w:hAnsi="Times New Roman"/>
        </w:rPr>
      </w:pPr>
      <w:bookmarkStart w:id="32" w:name="_Toc7921"/>
      <w:r>
        <w:rPr>
          <w:rFonts w:ascii="Times New Roman" w:hAnsi="Times New Roman"/>
          <w:highlight w:val="white"/>
        </w:rPr>
        <w:t>3 投标文件</w:t>
      </w:r>
      <w:bookmarkEnd w:id="32"/>
    </w:p>
    <w:p>
      <w:pPr>
        <w:pStyle w:val="4"/>
        <w:wordWrap w:val="0"/>
        <w:bidi w:val="0"/>
      </w:pPr>
      <w:bookmarkStart w:id="33" w:name="_Toc29153"/>
      <w:r>
        <w:rPr>
          <w:highlight w:val="white"/>
        </w:rPr>
        <w:t>3.1 投标文件的组成</w:t>
      </w:r>
      <w:bookmarkEnd w:id="33"/>
    </w:p>
    <w:p>
      <w:pPr>
        <w:wordWrap w:val="0"/>
        <w:bidi w:val="0"/>
        <w:spacing w:line="360" w:lineRule="auto"/>
        <w:ind w:firstLine="420" w:firstLineChars="200"/>
        <w:rPr>
          <w:szCs w:val="21"/>
        </w:rPr>
      </w:pPr>
      <w:r>
        <w:rPr>
          <w:szCs w:val="21"/>
          <w:highlight w:val="white"/>
        </w:rPr>
        <w:t>3.1.1 投标文件组成见“投标人须知前附表”；</w:t>
      </w:r>
    </w:p>
    <w:p>
      <w:pPr>
        <w:wordWrap w:val="0"/>
        <w:bidi w:val="0"/>
        <w:spacing w:line="360" w:lineRule="auto"/>
        <w:ind w:firstLine="420" w:firstLineChars="200"/>
        <w:rPr>
          <w:szCs w:val="21"/>
        </w:rPr>
      </w:pPr>
      <w:r>
        <w:rPr>
          <w:szCs w:val="21"/>
          <w:highlight w:val="white"/>
        </w:rPr>
        <w:t>3.1.2 招标文件“第八章 投标文件格式”有规定格式要求的，投标人应按规定的格式填写并按要求提交相关的证明材料。</w:t>
      </w:r>
    </w:p>
    <w:p>
      <w:pPr>
        <w:wordWrap w:val="0"/>
        <w:bidi w:val="0"/>
        <w:spacing w:line="360" w:lineRule="auto"/>
        <w:ind w:firstLine="420" w:firstLineChars="200"/>
        <w:rPr>
          <w:szCs w:val="21"/>
          <w:highlight w:val="white"/>
        </w:rPr>
      </w:pPr>
      <w:r>
        <w:rPr>
          <w:szCs w:val="21"/>
          <w:highlight w:val="white"/>
        </w:rPr>
        <w:t>3.1.3 “投标人须知前附表”规定不接受联合体投标的，或投标人没有组成联合体的，投标文件不包括本章第3.1.1（1）中所指的联合体协议书。</w:t>
      </w:r>
    </w:p>
    <w:p>
      <w:pPr>
        <w:wordWrap w:val="0"/>
        <w:bidi w:val="0"/>
        <w:spacing w:line="360" w:lineRule="auto"/>
        <w:ind w:firstLine="420" w:firstLineChars="200"/>
        <w:rPr>
          <w:rFonts w:hint="eastAsia"/>
          <w:szCs w:val="21"/>
          <w:highlight w:val="white"/>
          <w:lang w:val="en-US" w:eastAsia="zh-CN"/>
        </w:rPr>
      </w:pPr>
      <w:r>
        <w:rPr>
          <w:rFonts w:hint="eastAsia"/>
          <w:szCs w:val="21"/>
          <w:highlight w:val="white"/>
          <w:lang w:val="en-US" w:eastAsia="zh-CN"/>
        </w:rPr>
        <w:t>3.1.4竞标人应严格按照供应商须知的要求准备响应文件，每份响应文件封面显著处必须清楚地标明“正本”或“副本”字样。一旦正本和副本不符，以正本为准，响应文件包括：正本一份，副本二份。</w:t>
      </w:r>
    </w:p>
    <w:p>
      <w:pPr>
        <w:wordWrap w:val="0"/>
        <w:bidi w:val="0"/>
        <w:spacing w:line="360" w:lineRule="auto"/>
        <w:ind w:firstLine="420" w:firstLineChars="200"/>
        <w:rPr>
          <w:rFonts w:hint="eastAsia"/>
          <w:szCs w:val="21"/>
          <w:highlight w:val="white"/>
          <w:lang w:val="en-US" w:eastAsia="zh-CN"/>
        </w:rPr>
      </w:pPr>
      <w:r>
        <w:rPr>
          <w:rFonts w:hint="eastAsia"/>
          <w:szCs w:val="21"/>
          <w:highlight w:val="white"/>
          <w:lang w:val="en-US" w:eastAsia="zh-CN"/>
        </w:rPr>
        <w:t>3.1.5响应文件的正本和副本均需打印，必须由竞标人法人代表或其授权代表签字。授权代表须有法人代表以书面形式出具的“授权书”附在竞标文件中。</w:t>
      </w:r>
    </w:p>
    <w:p>
      <w:pPr>
        <w:wordWrap w:val="0"/>
        <w:bidi w:val="0"/>
        <w:spacing w:line="360" w:lineRule="auto"/>
        <w:ind w:firstLine="420" w:firstLineChars="200"/>
        <w:rPr>
          <w:rFonts w:hint="eastAsia"/>
          <w:szCs w:val="21"/>
          <w:highlight w:val="white"/>
          <w:lang w:val="en-US" w:eastAsia="zh-CN"/>
        </w:rPr>
      </w:pPr>
      <w:r>
        <w:rPr>
          <w:rFonts w:hint="eastAsia"/>
          <w:szCs w:val="21"/>
          <w:highlight w:val="white"/>
          <w:lang w:val="en-US" w:eastAsia="zh-CN"/>
        </w:rPr>
        <w:t>3.1.6除竞标人对错处做必要修改外，竞标文件不得行间插字、涂改或增删，必要的修改处必须有竞标单位法人代表或其授权代表人签字并盖公章。</w:t>
      </w:r>
    </w:p>
    <w:p>
      <w:pPr>
        <w:wordWrap w:val="0"/>
        <w:bidi w:val="0"/>
        <w:spacing w:line="360" w:lineRule="auto"/>
        <w:ind w:firstLine="420" w:firstLineChars="200"/>
        <w:rPr>
          <w:rFonts w:hint="eastAsia"/>
          <w:szCs w:val="21"/>
          <w:highlight w:val="white"/>
          <w:lang w:val="en-US" w:eastAsia="zh-CN"/>
        </w:rPr>
      </w:pPr>
      <w:r>
        <w:rPr>
          <w:rFonts w:hint="eastAsia"/>
          <w:szCs w:val="21"/>
          <w:highlight w:val="white"/>
          <w:lang w:val="en-US" w:eastAsia="zh-CN"/>
        </w:rPr>
        <w:t>3.1.7除特别说明外，全套竞标文件的书面部分均使用A4规格纸张无线胶装方式装订，不得采用活页夹等可随时拆换的方式装订。（正本一密封袋，二本副本一密封袋）</w:t>
      </w:r>
    </w:p>
    <w:p>
      <w:pPr>
        <w:wordWrap w:val="0"/>
        <w:bidi w:val="0"/>
        <w:spacing w:line="360" w:lineRule="auto"/>
        <w:ind w:firstLine="420" w:firstLineChars="200"/>
        <w:rPr>
          <w:rFonts w:hint="eastAsia"/>
          <w:szCs w:val="21"/>
          <w:highlight w:val="white"/>
          <w:lang w:val="en-US" w:eastAsia="zh-CN"/>
        </w:rPr>
      </w:pPr>
      <w:r>
        <w:rPr>
          <w:rFonts w:hint="eastAsia"/>
          <w:szCs w:val="21"/>
          <w:highlight w:val="white"/>
          <w:lang w:val="en-US" w:eastAsia="zh-CN"/>
        </w:rPr>
        <w:t>3.1.8密封件外层正面应注明竞标人名称、竞标项目名称、项目编号等字样，并在骑缝处加盖公章，因标注不清而产生后果的由竞标人自负。</w:t>
      </w:r>
    </w:p>
    <w:p>
      <w:pPr>
        <w:wordWrap w:val="0"/>
        <w:bidi w:val="0"/>
        <w:spacing w:line="360" w:lineRule="auto"/>
        <w:ind w:firstLine="422" w:firstLineChars="200"/>
        <w:rPr>
          <w:rFonts w:hint="default"/>
          <w:b/>
          <w:bCs/>
          <w:szCs w:val="21"/>
          <w:highlight w:val="white"/>
          <w:lang w:val="en-US" w:eastAsia="zh-CN"/>
        </w:rPr>
      </w:pPr>
      <w:r>
        <w:rPr>
          <w:rFonts w:hint="eastAsia"/>
          <w:b/>
          <w:bCs/>
          <w:szCs w:val="21"/>
          <w:highlight w:val="white"/>
          <w:lang w:val="en-US" w:eastAsia="zh-CN"/>
        </w:rPr>
        <w:t>若响应文件未按要求密封和加写标记，将作为无效标处理。</w:t>
      </w:r>
    </w:p>
    <w:p>
      <w:pPr>
        <w:pStyle w:val="4"/>
        <w:wordWrap w:val="0"/>
        <w:bidi w:val="0"/>
      </w:pPr>
      <w:bookmarkStart w:id="34" w:name="_Toc807"/>
      <w:r>
        <w:rPr>
          <w:highlight w:val="white"/>
        </w:rPr>
        <w:t>3.2 投标报价</w:t>
      </w:r>
      <w:bookmarkEnd w:id="34"/>
    </w:p>
    <w:p>
      <w:pPr>
        <w:wordWrap w:val="0"/>
        <w:bidi w:val="0"/>
        <w:spacing w:line="360" w:lineRule="auto"/>
        <w:ind w:firstLine="420" w:firstLineChars="200"/>
        <w:rPr>
          <w:szCs w:val="21"/>
        </w:rPr>
      </w:pPr>
      <w:r>
        <w:rPr>
          <w:szCs w:val="21"/>
          <w:highlight w:val="white"/>
        </w:rPr>
        <w:t>3.2.1 投标人应按第五章“工程量清单”的要求编制投标报价。</w:t>
      </w:r>
    </w:p>
    <w:p>
      <w:pPr>
        <w:tabs>
          <w:tab w:val="left" w:pos="0"/>
          <w:tab w:val="left" w:pos="993"/>
          <w:tab w:val="left" w:pos="1134"/>
        </w:tabs>
        <w:wordWrap w:val="0"/>
        <w:bidi w:val="0"/>
        <w:adjustRightInd w:val="0"/>
        <w:snapToGrid w:val="0"/>
        <w:spacing w:line="360" w:lineRule="auto"/>
        <w:ind w:firstLine="420" w:firstLineChars="200"/>
        <w:rPr>
          <w:szCs w:val="21"/>
        </w:rPr>
      </w:pPr>
      <w:r>
        <w:rPr>
          <w:szCs w:val="21"/>
          <w:highlight w:val="white"/>
        </w:rPr>
        <w:t>3.2.2 投</w:t>
      </w:r>
      <w:r>
        <w:rPr>
          <w:highlight w:val="white"/>
        </w:rPr>
        <w:t>标人在投标截止时间前修改投标函中的投标总报价，应同时修改“已标价工程量清单”中的相应报价。此修改须符合本章第4.3款的有关要求</w:t>
      </w:r>
      <w:r>
        <w:rPr>
          <w:szCs w:val="21"/>
          <w:highlight w:val="white"/>
        </w:rPr>
        <w:t>。</w:t>
      </w:r>
    </w:p>
    <w:p>
      <w:pPr>
        <w:tabs>
          <w:tab w:val="left" w:pos="0"/>
          <w:tab w:val="left" w:pos="993"/>
          <w:tab w:val="left" w:pos="1134"/>
        </w:tabs>
        <w:wordWrap w:val="0"/>
        <w:bidi w:val="0"/>
        <w:adjustRightInd w:val="0"/>
        <w:snapToGrid w:val="0"/>
        <w:spacing w:line="360" w:lineRule="auto"/>
        <w:ind w:firstLine="420" w:firstLineChars="200"/>
        <w:rPr>
          <w:kern w:val="0"/>
          <w:szCs w:val="21"/>
        </w:rPr>
      </w:pPr>
      <w:r>
        <w:rPr>
          <w:kern w:val="0"/>
          <w:szCs w:val="21"/>
          <w:highlight w:val="white"/>
        </w:rPr>
        <w:t>3.2.3本项目合同价格形式见投标须知前附表，各投标人的投标报价应充分考虑第四章</w:t>
      </w:r>
      <w:r>
        <w:rPr>
          <w:highlight w:val="white"/>
        </w:rPr>
        <w:t>“合同条款及格式”所列合同价格风险。</w:t>
      </w:r>
    </w:p>
    <w:p>
      <w:pPr>
        <w:pStyle w:val="4"/>
        <w:wordWrap w:val="0"/>
        <w:bidi w:val="0"/>
      </w:pPr>
      <w:bookmarkStart w:id="35" w:name="_Toc967"/>
      <w:r>
        <w:rPr>
          <w:highlight w:val="white"/>
        </w:rPr>
        <w:t>3.3 投标有效期</w:t>
      </w:r>
      <w:bookmarkEnd w:id="35"/>
    </w:p>
    <w:p>
      <w:pPr>
        <w:wordWrap w:val="0"/>
        <w:bidi w:val="0"/>
        <w:spacing w:line="360" w:lineRule="auto"/>
        <w:ind w:firstLine="420" w:firstLineChars="200"/>
        <w:rPr>
          <w:szCs w:val="21"/>
        </w:rPr>
      </w:pPr>
      <w:r>
        <w:rPr>
          <w:szCs w:val="21"/>
          <w:highlight w:val="white"/>
        </w:rPr>
        <w:t>3.3.1 在投标人须知前附表规定的投标有效期内，投标人不得要求撤销或修改其投标文件。</w:t>
      </w:r>
    </w:p>
    <w:p>
      <w:pPr>
        <w:wordWrap w:val="0"/>
        <w:bidi w:val="0"/>
        <w:spacing w:line="360" w:lineRule="auto"/>
        <w:ind w:firstLine="420" w:firstLineChars="200"/>
        <w:rPr>
          <w:szCs w:val="21"/>
        </w:rPr>
      </w:pPr>
      <w:r>
        <w:rPr>
          <w:szCs w:val="21"/>
          <w:highlight w:val="white"/>
        </w:rPr>
        <w:t>3.3.2 出现特殊情况需要延长投标有效期的，招标人将通知所有投标人延长投标有效期。投标人同意延长的，应相应延长其投标保证金的有效期，但不得要求或被允许修改或撤销其投标文件；投标人拒绝延长的，其投标失效，但投标人有权收回其投标保证金。</w:t>
      </w:r>
    </w:p>
    <w:p>
      <w:pPr>
        <w:pStyle w:val="4"/>
        <w:wordWrap w:val="0"/>
        <w:bidi w:val="0"/>
      </w:pPr>
      <w:bookmarkStart w:id="36" w:name="_Toc11394"/>
      <w:r>
        <w:rPr>
          <w:highlight w:val="white"/>
        </w:rPr>
        <w:t>3.4 投标保证金</w:t>
      </w:r>
      <w:bookmarkEnd w:id="36"/>
    </w:p>
    <w:p>
      <w:pPr>
        <w:wordWrap w:val="0"/>
        <w:bidi w:val="0"/>
        <w:spacing w:line="360" w:lineRule="auto"/>
        <w:ind w:firstLine="420" w:firstLineChars="200"/>
        <w:rPr>
          <w:szCs w:val="21"/>
        </w:rPr>
      </w:pPr>
      <w:r>
        <w:rPr>
          <w:szCs w:val="21"/>
          <w:highlight w:val="white"/>
        </w:rPr>
        <w:t>3.4.1 投标人必须在投标截止时间前，按投标人须知前附表的规定递交投标保证金。</w:t>
      </w:r>
    </w:p>
    <w:p>
      <w:pPr>
        <w:wordWrap w:val="0"/>
        <w:bidi w:val="0"/>
        <w:spacing w:line="360" w:lineRule="auto"/>
        <w:ind w:firstLine="420" w:firstLineChars="200"/>
        <w:rPr>
          <w:szCs w:val="21"/>
        </w:rPr>
      </w:pPr>
      <w:r>
        <w:rPr>
          <w:szCs w:val="21"/>
          <w:highlight w:val="white"/>
        </w:rPr>
        <w:t>3.4.2 投标人不按本章第3.4.1项要求提交投标保证金的，其投标文件无效。</w:t>
      </w:r>
    </w:p>
    <w:p>
      <w:pPr>
        <w:wordWrap w:val="0"/>
        <w:bidi w:val="0"/>
        <w:spacing w:line="360" w:lineRule="auto"/>
        <w:ind w:firstLine="420" w:firstLineChars="200"/>
        <w:rPr>
          <w:szCs w:val="21"/>
        </w:rPr>
      </w:pPr>
      <w:r>
        <w:rPr>
          <w:szCs w:val="21"/>
          <w:highlight w:val="white"/>
        </w:rPr>
        <w:t xml:space="preserve">3.4.3 </w:t>
      </w:r>
      <w:r>
        <w:rPr>
          <w:rFonts w:hint="eastAsia"/>
          <w:highlight w:val="white"/>
        </w:rPr>
        <w:t>招标人向中标人发放中标通知书后5个工作日内</w:t>
      </w:r>
      <w:r>
        <w:rPr>
          <w:highlight w:val="white"/>
        </w:rPr>
        <w:t>，向未中标的投标人和中标人退还投标保证金。</w:t>
      </w:r>
      <w:r>
        <w:rPr>
          <w:szCs w:val="21"/>
          <w:highlight w:val="white"/>
        </w:rPr>
        <w:t>退还方式见投标人须知前附表。</w:t>
      </w:r>
    </w:p>
    <w:p>
      <w:pPr>
        <w:wordWrap w:val="0"/>
        <w:bidi w:val="0"/>
        <w:spacing w:line="360" w:lineRule="auto"/>
        <w:ind w:firstLine="420" w:firstLineChars="200"/>
        <w:rPr>
          <w:szCs w:val="21"/>
        </w:rPr>
      </w:pPr>
      <w:r>
        <w:rPr>
          <w:szCs w:val="21"/>
          <w:highlight w:val="white"/>
        </w:rPr>
        <w:t>3.4.4 有下列情形之一的，投标保证金将不予退还：</w:t>
      </w:r>
    </w:p>
    <w:p>
      <w:pPr>
        <w:wordWrap w:val="0"/>
        <w:bidi w:val="0"/>
        <w:spacing w:line="360" w:lineRule="auto"/>
        <w:ind w:firstLine="420" w:firstLineChars="200"/>
        <w:rPr>
          <w:szCs w:val="21"/>
        </w:rPr>
      </w:pPr>
      <w:r>
        <w:rPr>
          <w:rFonts w:hint="eastAsia" w:ascii="宋体" w:hAnsi="宋体" w:cs="宋体"/>
          <w:szCs w:val="21"/>
          <w:highlight w:val="white"/>
        </w:rPr>
        <w:t>①</w:t>
      </w:r>
      <w:r>
        <w:rPr>
          <w:szCs w:val="21"/>
          <w:highlight w:val="white"/>
        </w:rPr>
        <w:t>投标人在投标有效期内撤销或修改其投标文件；</w:t>
      </w:r>
    </w:p>
    <w:p>
      <w:pPr>
        <w:wordWrap w:val="0"/>
        <w:bidi w:val="0"/>
        <w:spacing w:line="360" w:lineRule="auto"/>
        <w:ind w:firstLine="420" w:firstLineChars="200"/>
        <w:rPr>
          <w:szCs w:val="21"/>
        </w:rPr>
      </w:pPr>
      <w:r>
        <w:rPr>
          <w:rFonts w:hint="eastAsia" w:ascii="宋体" w:hAnsi="宋体" w:cs="宋体"/>
          <w:szCs w:val="21"/>
          <w:highlight w:val="white"/>
        </w:rPr>
        <w:t>②</w:t>
      </w:r>
      <w:r>
        <w:rPr>
          <w:szCs w:val="21"/>
          <w:highlight w:val="white"/>
        </w:rPr>
        <w:t>中标人无正当理由不与招标人订立合同；</w:t>
      </w:r>
    </w:p>
    <w:p>
      <w:pPr>
        <w:wordWrap w:val="0"/>
        <w:bidi w:val="0"/>
        <w:spacing w:line="360" w:lineRule="auto"/>
        <w:ind w:firstLine="420" w:firstLineChars="200"/>
        <w:rPr>
          <w:szCs w:val="21"/>
        </w:rPr>
      </w:pPr>
      <w:r>
        <w:rPr>
          <w:rFonts w:hint="eastAsia" w:ascii="宋体" w:hAnsi="宋体" w:cs="宋体"/>
          <w:szCs w:val="21"/>
          <w:highlight w:val="white"/>
        </w:rPr>
        <w:t>③</w:t>
      </w:r>
      <w:r>
        <w:rPr>
          <w:szCs w:val="21"/>
          <w:highlight w:val="white"/>
        </w:rPr>
        <w:t>中标人在签订合同时向招标人提出附加条件；</w:t>
      </w:r>
    </w:p>
    <w:p>
      <w:pPr>
        <w:wordWrap w:val="0"/>
        <w:bidi w:val="0"/>
        <w:spacing w:line="360" w:lineRule="auto"/>
        <w:ind w:firstLine="420" w:firstLineChars="200"/>
        <w:rPr>
          <w:szCs w:val="21"/>
        </w:rPr>
      </w:pPr>
      <w:r>
        <w:rPr>
          <w:rFonts w:hint="eastAsia" w:ascii="宋体" w:hAnsi="宋体" w:cs="宋体"/>
          <w:szCs w:val="21"/>
          <w:highlight w:val="white"/>
        </w:rPr>
        <w:t>④</w:t>
      </w:r>
      <w:r>
        <w:rPr>
          <w:szCs w:val="21"/>
          <w:highlight w:val="white"/>
        </w:rPr>
        <w:t>中标人不按照招标文件要求提交履约保证金的。</w:t>
      </w:r>
    </w:p>
    <w:p>
      <w:pPr>
        <w:pStyle w:val="4"/>
        <w:wordWrap w:val="0"/>
        <w:bidi w:val="0"/>
      </w:pPr>
      <w:bookmarkStart w:id="37" w:name="_Toc6829"/>
      <w:r>
        <w:rPr>
          <w:highlight w:val="white"/>
        </w:rPr>
        <w:t>3.5 备选投标方案</w:t>
      </w:r>
      <w:bookmarkEnd w:id="37"/>
    </w:p>
    <w:p>
      <w:pPr>
        <w:wordWrap w:val="0"/>
        <w:bidi w:val="0"/>
        <w:spacing w:line="360" w:lineRule="auto"/>
        <w:ind w:firstLine="420" w:firstLineChars="200"/>
        <w:rPr>
          <w:szCs w:val="21"/>
        </w:rPr>
      </w:pPr>
      <w:r>
        <w:rPr>
          <w:szCs w:val="21"/>
          <w:highlight w:val="white"/>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4"/>
        <w:wordWrap w:val="0"/>
        <w:bidi w:val="0"/>
      </w:pPr>
      <w:bookmarkStart w:id="38" w:name="_Toc7819"/>
      <w:r>
        <w:rPr>
          <w:highlight w:val="white"/>
        </w:rPr>
        <w:t>3.6 投标文件的编制</w:t>
      </w:r>
      <w:bookmarkEnd w:id="38"/>
    </w:p>
    <w:p>
      <w:pPr>
        <w:wordWrap w:val="0"/>
        <w:bidi w:val="0"/>
        <w:spacing w:line="360" w:lineRule="auto"/>
        <w:ind w:firstLine="420" w:firstLineChars="200"/>
        <w:rPr>
          <w:szCs w:val="21"/>
        </w:rPr>
      </w:pPr>
      <w:r>
        <w:rPr>
          <w:szCs w:val="21"/>
          <w:highlight w:val="white"/>
        </w:rPr>
        <w:t>3.6.1 投标文件应按第八章“投标文件格式”进行编写，如有必要可自行增加，作为投标文件的组成部分。</w:t>
      </w:r>
    </w:p>
    <w:p>
      <w:pPr>
        <w:wordWrap w:val="0"/>
        <w:bidi w:val="0"/>
        <w:spacing w:line="360" w:lineRule="auto"/>
        <w:ind w:firstLine="420" w:firstLineChars="200"/>
        <w:rPr>
          <w:szCs w:val="21"/>
        </w:rPr>
      </w:pPr>
      <w:r>
        <w:rPr>
          <w:szCs w:val="21"/>
          <w:highlight w:val="white"/>
        </w:rPr>
        <w:t>3.6.2  投标文件应</w:t>
      </w:r>
      <w:r>
        <w:rPr>
          <w:rFonts w:hint="eastAsia"/>
          <w:szCs w:val="21"/>
          <w:highlight w:val="white"/>
          <w:lang w:eastAsia="zh-CN"/>
        </w:rPr>
        <w:t>规范</w:t>
      </w:r>
      <w:r>
        <w:rPr>
          <w:szCs w:val="21"/>
          <w:highlight w:val="white"/>
        </w:rPr>
        <w:t>编制、签章和</w:t>
      </w:r>
      <w:r>
        <w:rPr>
          <w:rFonts w:hint="eastAsia"/>
          <w:szCs w:val="21"/>
          <w:highlight w:val="white"/>
          <w:lang w:val="en-US" w:eastAsia="zh-CN"/>
        </w:rPr>
        <w:t>密封</w:t>
      </w:r>
      <w:r>
        <w:rPr>
          <w:szCs w:val="21"/>
          <w:highlight w:val="white"/>
        </w:rPr>
        <w:t>，并在投标截止期前</w:t>
      </w:r>
      <w:r>
        <w:rPr>
          <w:rFonts w:hint="eastAsia"/>
          <w:szCs w:val="21"/>
          <w:highlight w:val="white"/>
          <w:lang w:eastAsia="zh-CN"/>
        </w:rPr>
        <w:t>送达指定地点</w:t>
      </w:r>
      <w:r>
        <w:rPr>
          <w:szCs w:val="21"/>
          <w:highlight w:val="white"/>
        </w:rPr>
        <w:t>。</w:t>
      </w:r>
    </w:p>
    <w:p>
      <w:pPr>
        <w:wordWrap w:val="0"/>
        <w:bidi w:val="0"/>
        <w:spacing w:line="360" w:lineRule="auto"/>
        <w:ind w:firstLine="420" w:firstLineChars="200"/>
        <w:rPr>
          <w:szCs w:val="21"/>
        </w:rPr>
      </w:pPr>
      <w:r>
        <w:rPr>
          <w:szCs w:val="21"/>
          <w:highlight w:val="white"/>
        </w:rPr>
        <w:t>3.6.4投标文件应当对招标文件有关工期、投标有效期、质量要求、技术标准和要求、招标范围等实质性内容作出响应。</w:t>
      </w:r>
    </w:p>
    <w:p>
      <w:pPr>
        <w:wordWrap w:val="0"/>
        <w:bidi w:val="0"/>
        <w:spacing w:line="360" w:lineRule="auto"/>
        <w:ind w:firstLine="420" w:firstLineChars="200"/>
        <w:rPr>
          <w:szCs w:val="21"/>
        </w:rPr>
      </w:pPr>
      <w:r>
        <w:rPr>
          <w:szCs w:val="21"/>
          <w:highlight w:val="white"/>
        </w:rPr>
        <w:t>3.6.5施工组织设计暗标要求见投标人须知前附表</w:t>
      </w:r>
    </w:p>
    <w:p>
      <w:pPr>
        <w:wordWrap w:val="0"/>
        <w:bidi w:val="0"/>
        <w:spacing w:line="360" w:lineRule="auto"/>
        <w:ind w:firstLine="420" w:firstLineChars="200"/>
        <w:rPr>
          <w:szCs w:val="21"/>
        </w:rPr>
      </w:pPr>
      <w:r>
        <w:rPr>
          <w:szCs w:val="21"/>
          <w:highlight w:val="white"/>
        </w:rPr>
        <w:t>3.6.6补充内容：投标文件编制的其它要求详见投标人须知前附表。</w:t>
      </w:r>
    </w:p>
    <w:p>
      <w:pPr>
        <w:bidi w:val="0"/>
        <w:rPr>
          <w:highlight w:val="cyan"/>
        </w:rPr>
      </w:pPr>
      <w:r>
        <w:rPr>
          <w:color w:val="000080"/>
          <w:sz w:val="20"/>
          <w:highlight w:val="white"/>
        </w:rPr>
        <w:t xml:space="preserve"> </w:t>
      </w:r>
    </w:p>
    <w:p>
      <w:pPr>
        <w:bidi w:val="0"/>
        <w:rPr>
          <w:rFonts w:hint="eastAsia"/>
          <w:highlight w:val="yellow"/>
        </w:rPr>
      </w:pPr>
      <w:r>
        <w:rPr>
          <w:color w:val="000080"/>
          <w:sz w:val="20"/>
          <w:highlight w:val="white"/>
        </w:rPr>
        <w:t xml:space="preserve">  </w:t>
      </w:r>
    </w:p>
    <w:p>
      <w:pPr>
        <w:pStyle w:val="3"/>
        <w:wordWrap w:val="0"/>
        <w:bidi w:val="0"/>
        <w:spacing w:line="360" w:lineRule="auto"/>
        <w:rPr>
          <w:rFonts w:ascii="Times New Roman" w:hAnsi="Times New Roman"/>
        </w:rPr>
      </w:pPr>
      <w:bookmarkStart w:id="39" w:name="_Toc20868"/>
      <w:r>
        <w:rPr>
          <w:rFonts w:ascii="Times New Roman" w:hAnsi="Times New Roman"/>
          <w:highlight w:val="white"/>
        </w:rPr>
        <w:t>4 投标</w:t>
      </w:r>
      <w:bookmarkEnd w:id="39"/>
    </w:p>
    <w:p>
      <w:pPr>
        <w:pStyle w:val="4"/>
        <w:wordWrap w:val="0"/>
        <w:bidi w:val="0"/>
      </w:pPr>
      <w:bookmarkStart w:id="40" w:name="_Toc16332"/>
      <w:r>
        <w:rPr>
          <w:highlight w:val="white"/>
        </w:rPr>
        <w:t>4.2 投标文件的递交</w:t>
      </w:r>
      <w:bookmarkEnd w:id="40"/>
    </w:p>
    <w:p>
      <w:pPr>
        <w:wordWrap w:val="0"/>
        <w:bidi w:val="0"/>
        <w:spacing w:line="360" w:lineRule="auto"/>
        <w:ind w:firstLine="420" w:firstLineChars="200"/>
        <w:rPr>
          <w:szCs w:val="21"/>
        </w:rPr>
      </w:pPr>
      <w:r>
        <w:rPr>
          <w:szCs w:val="21"/>
          <w:highlight w:val="white"/>
        </w:rPr>
        <w:t>4.2.1投标人应在投标人须知前附表规定的投标截止时间前，递交投标文件。</w:t>
      </w:r>
    </w:p>
    <w:p>
      <w:pPr>
        <w:wordWrap w:val="0"/>
        <w:bidi w:val="0"/>
        <w:spacing w:line="360" w:lineRule="auto"/>
        <w:ind w:firstLine="420" w:firstLineChars="200"/>
        <w:rPr>
          <w:szCs w:val="21"/>
        </w:rPr>
      </w:pPr>
      <w:r>
        <w:rPr>
          <w:szCs w:val="21"/>
          <w:highlight w:val="white"/>
        </w:rPr>
        <w:t>4.2.3 投标人递交投标文件的地点：见投标人须知前附表。</w:t>
      </w:r>
    </w:p>
    <w:p>
      <w:pPr>
        <w:wordWrap w:val="0"/>
        <w:bidi w:val="0"/>
        <w:spacing w:line="360" w:lineRule="auto"/>
        <w:ind w:firstLine="420" w:firstLineChars="200"/>
        <w:rPr>
          <w:szCs w:val="21"/>
        </w:rPr>
      </w:pPr>
      <w:r>
        <w:rPr>
          <w:szCs w:val="21"/>
          <w:highlight w:val="white"/>
        </w:rPr>
        <w:t>4.2.4逾期</w:t>
      </w:r>
      <w:r>
        <w:rPr>
          <w:rFonts w:hint="eastAsia"/>
          <w:szCs w:val="21"/>
          <w:highlight w:val="white"/>
          <w:lang w:eastAsia="zh-CN"/>
        </w:rPr>
        <w:t>送达</w:t>
      </w:r>
      <w:r>
        <w:rPr>
          <w:szCs w:val="21"/>
          <w:highlight w:val="white"/>
        </w:rPr>
        <w:t>投标文件的，招标人不予受理。</w:t>
      </w:r>
    </w:p>
    <w:p>
      <w:pPr>
        <w:pStyle w:val="4"/>
        <w:wordWrap w:val="0"/>
        <w:bidi w:val="0"/>
      </w:pPr>
      <w:bookmarkStart w:id="41" w:name="_Toc22152"/>
      <w:r>
        <w:rPr>
          <w:highlight w:val="white"/>
        </w:rPr>
        <w:t>4.3 投标文件的修改与撤回</w:t>
      </w:r>
      <w:bookmarkEnd w:id="41"/>
    </w:p>
    <w:p>
      <w:pPr>
        <w:wordWrap w:val="0"/>
        <w:bidi w:val="0"/>
        <w:spacing w:line="360" w:lineRule="auto"/>
        <w:ind w:firstLine="420" w:firstLineChars="200"/>
        <w:rPr>
          <w:szCs w:val="21"/>
        </w:rPr>
      </w:pPr>
      <w:r>
        <w:rPr>
          <w:szCs w:val="21"/>
          <w:highlight w:val="white"/>
        </w:rPr>
        <w:t>在本章第4.2.1项规定的投标截止时间前，投标人可以修改或撤回已递交的投标文件。</w:t>
      </w:r>
    </w:p>
    <w:p>
      <w:pPr>
        <w:bidi w:val="0"/>
        <w:rPr>
          <w:highlight w:val="cyan"/>
        </w:rPr>
      </w:pPr>
      <w:r>
        <w:rPr>
          <w:color w:val="000080"/>
          <w:sz w:val="20"/>
          <w:highlight w:val="white"/>
        </w:rPr>
        <w:t xml:space="preserve"> </w:t>
      </w:r>
    </w:p>
    <w:p>
      <w:pPr>
        <w:bidi w:val="0"/>
        <w:rPr>
          <w:rFonts w:hint="eastAsia"/>
          <w:highlight w:val="yellow"/>
        </w:rPr>
      </w:pPr>
      <w:r>
        <w:rPr>
          <w:color w:val="000080"/>
          <w:sz w:val="20"/>
          <w:highlight w:val="white"/>
        </w:rPr>
        <w:t xml:space="preserve">  </w:t>
      </w:r>
    </w:p>
    <w:p>
      <w:pPr>
        <w:pStyle w:val="3"/>
        <w:wordWrap w:val="0"/>
        <w:bidi w:val="0"/>
        <w:spacing w:line="360" w:lineRule="auto"/>
        <w:rPr>
          <w:rFonts w:ascii="Times New Roman" w:hAnsi="Times New Roman"/>
        </w:rPr>
      </w:pPr>
      <w:bookmarkStart w:id="42" w:name="_Toc18442"/>
      <w:r>
        <w:rPr>
          <w:rFonts w:ascii="Times New Roman" w:hAnsi="Times New Roman"/>
          <w:highlight w:val="white"/>
        </w:rPr>
        <w:t>5 开标</w:t>
      </w:r>
      <w:bookmarkEnd w:id="42"/>
    </w:p>
    <w:p>
      <w:pPr>
        <w:pStyle w:val="4"/>
        <w:wordWrap w:val="0"/>
        <w:bidi w:val="0"/>
      </w:pPr>
      <w:bookmarkStart w:id="43" w:name="_Toc788"/>
      <w:r>
        <w:rPr>
          <w:highlight w:val="white"/>
        </w:rPr>
        <w:t>5.1 开标时间、地点和投标人参会代表</w:t>
      </w:r>
      <w:bookmarkEnd w:id="43"/>
    </w:p>
    <w:p>
      <w:pPr>
        <w:wordWrap w:val="0"/>
        <w:bidi w:val="0"/>
        <w:spacing w:line="360" w:lineRule="auto"/>
        <w:ind w:firstLine="420" w:firstLineChars="200"/>
        <w:rPr>
          <w:szCs w:val="21"/>
        </w:rPr>
      </w:pPr>
      <w:r>
        <w:rPr>
          <w:szCs w:val="21"/>
          <w:highlight w:val="white"/>
        </w:rPr>
        <w:t>5.1.1招标人在投标人须知前附表规定的时间和地点公开开标；</w:t>
      </w:r>
    </w:p>
    <w:p>
      <w:pPr>
        <w:bidi w:val="0"/>
        <w:ind w:firstLine="420" w:firstLineChars="200"/>
        <w:rPr>
          <w:rFonts w:hint="eastAsia"/>
          <w:szCs w:val="21"/>
        </w:rPr>
      </w:pPr>
      <w:r>
        <w:rPr>
          <w:rFonts w:hint="eastAsia"/>
          <w:szCs w:val="21"/>
          <w:highlight w:val="white"/>
        </w:rPr>
        <w:t>5.1.2 参与开标评标活动的人员必须是投标人的法定代表人或授权委托人。</w:t>
      </w:r>
    </w:p>
    <w:p>
      <w:pPr>
        <w:wordWrap w:val="0"/>
        <w:bidi w:val="0"/>
        <w:spacing w:line="360" w:lineRule="auto"/>
        <w:ind w:firstLine="420" w:firstLineChars="200"/>
        <w:rPr>
          <w:rFonts w:hint="eastAsia"/>
          <w:szCs w:val="21"/>
        </w:rPr>
      </w:pPr>
      <w:r>
        <w:rPr>
          <w:rFonts w:hint="eastAsia"/>
          <w:szCs w:val="21"/>
          <w:highlight w:val="white"/>
        </w:rPr>
        <w:t>5.1.</w:t>
      </w:r>
      <w:r>
        <w:rPr>
          <w:rFonts w:hint="eastAsia"/>
          <w:szCs w:val="21"/>
          <w:highlight w:val="white"/>
          <w:lang w:val="en-US" w:eastAsia="zh-CN"/>
        </w:rPr>
        <w:t>3</w:t>
      </w:r>
      <w:r>
        <w:rPr>
          <w:rFonts w:hint="eastAsia"/>
          <w:szCs w:val="21"/>
          <w:highlight w:val="white"/>
        </w:rPr>
        <w:t>采用现场开标的项目，在投标截止时间前法定代表人或授权委托人应持本人有效居民身份证原件参加开标会议，未按要求出席开标会议的，视为符合本招标文件无效标条款6.3.4.25条情形。</w:t>
      </w:r>
    </w:p>
    <w:p>
      <w:pPr>
        <w:wordWrap w:val="0"/>
        <w:bidi w:val="0"/>
        <w:spacing w:line="360" w:lineRule="auto"/>
        <w:ind w:firstLine="420" w:firstLineChars="200"/>
        <w:rPr>
          <w:rFonts w:hint="eastAsia"/>
          <w:szCs w:val="21"/>
        </w:rPr>
      </w:pPr>
      <w:r>
        <w:rPr>
          <w:rFonts w:hint="eastAsia"/>
          <w:szCs w:val="21"/>
          <w:highlight w:val="white"/>
        </w:rPr>
        <w:t>5.1.</w:t>
      </w:r>
      <w:r>
        <w:rPr>
          <w:rFonts w:hint="eastAsia"/>
          <w:szCs w:val="21"/>
          <w:highlight w:val="white"/>
          <w:lang w:val="en-US" w:eastAsia="zh-CN"/>
        </w:rPr>
        <w:t>4</w:t>
      </w:r>
      <w:r>
        <w:rPr>
          <w:rFonts w:hint="eastAsia"/>
          <w:szCs w:val="21"/>
          <w:highlight w:val="white"/>
        </w:rPr>
        <w:t>开标会议上应当众公布投标价、质量、拟派项目负责人名称等。</w:t>
      </w:r>
    </w:p>
    <w:p>
      <w:pPr>
        <w:pStyle w:val="4"/>
        <w:wordWrap w:val="0"/>
        <w:bidi w:val="0"/>
      </w:pPr>
      <w:bookmarkStart w:id="44" w:name="_Toc20782"/>
      <w:r>
        <w:rPr>
          <w:highlight w:val="white"/>
        </w:rPr>
        <w:t>5.2 开标程序</w:t>
      </w:r>
      <w:bookmarkEnd w:id="44"/>
    </w:p>
    <w:p>
      <w:pPr>
        <w:bidi w:val="0"/>
        <w:spacing w:line="400" w:lineRule="exact"/>
        <w:ind w:left="399" w:leftChars="190"/>
        <w:rPr>
          <w:rFonts w:hint="eastAsia" w:ascii="宋体" w:hAnsi="宋体"/>
          <w:szCs w:val="21"/>
          <w:lang w:bidi="ar"/>
        </w:rPr>
      </w:pPr>
      <w:r>
        <w:rPr>
          <w:rFonts w:hint="eastAsia" w:ascii="宋体" w:hAnsi="宋体"/>
          <w:szCs w:val="21"/>
          <w:highlight w:val="white"/>
          <w:lang w:bidi="ar"/>
        </w:rPr>
        <w:t>5.2.1现场开标程序：主持人按下列程序进行开标，开标按标段顺序进行。</w:t>
      </w:r>
      <w:r>
        <w:rPr>
          <w:rFonts w:hint="eastAsia" w:ascii="宋体" w:hAnsi="宋体"/>
          <w:szCs w:val="21"/>
          <w:highlight w:val="white"/>
          <w:lang w:bidi="ar"/>
        </w:rPr>
        <w:br w:type="textWrapping"/>
      </w:r>
      <w:r>
        <w:rPr>
          <w:rFonts w:hint="eastAsia" w:ascii="宋体" w:hAnsi="宋体"/>
          <w:szCs w:val="21"/>
          <w:highlight w:val="white"/>
          <w:lang w:bidi="ar"/>
        </w:rPr>
        <w:t>（1）监督人身份确认；</w:t>
      </w:r>
      <w:r>
        <w:rPr>
          <w:rFonts w:hint="eastAsia" w:ascii="宋体" w:hAnsi="宋体"/>
          <w:szCs w:val="21"/>
          <w:highlight w:val="white"/>
          <w:lang w:bidi="ar"/>
        </w:rPr>
        <w:br w:type="textWrapping"/>
      </w:r>
      <w:r>
        <w:rPr>
          <w:rFonts w:hint="eastAsia" w:ascii="宋体" w:hAnsi="宋体"/>
          <w:szCs w:val="21"/>
          <w:highlight w:val="white"/>
          <w:lang w:bidi="ar"/>
        </w:rPr>
        <w:t>（2）播放开标会议纪律；</w:t>
      </w:r>
      <w:r>
        <w:rPr>
          <w:rFonts w:hint="eastAsia" w:ascii="宋体" w:hAnsi="宋体"/>
          <w:szCs w:val="21"/>
          <w:highlight w:val="white"/>
          <w:lang w:bidi="ar"/>
        </w:rPr>
        <w:br w:type="textWrapping"/>
      </w:r>
      <w:r>
        <w:rPr>
          <w:rFonts w:hint="eastAsia" w:ascii="宋体" w:hAnsi="宋体"/>
          <w:szCs w:val="21"/>
          <w:highlight w:val="white"/>
          <w:lang w:bidi="ar"/>
        </w:rPr>
        <w:t>（3）投标单位签到；</w:t>
      </w:r>
      <w:r>
        <w:rPr>
          <w:rFonts w:hint="eastAsia" w:ascii="宋体" w:hAnsi="宋体"/>
          <w:szCs w:val="21"/>
          <w:highlight w:val="white"/>
          <w:lang w:bidi="ar"/>
        </w:rPr>
        <w:br w:type="textWrapping"/>
      </w:r>
      <w:r>
        <w:rPr>
          <w:rFonts w:hint="eastAsia" w:ascii="宋体" w:hAnsi="宋体"/>
          <w:szCs w:val="21"/>
          <w:highlight w:val="white"/>
          <w:lang w:bidi="ar"/>
        </w:rPr>
        <w:t>（4）核查各投标人开标现场应提交的资料，并记录；</w:t>
      </w:r>
      <w:r>
        <w:rPr>
          <w:rFonts w:hint="eastAsia" w:ascii="宋体" w:hAnsi="宋体"/>
          <w:szCs w:val="21"/>
          <w:highlight w:val="white"/>
          <w:lang w:bidi="ar"/>
        </w:rPr>
        <w:br w:type="textWrapping"/>
      </w:r>
      <w:r>
        <w:rPr>
          <w:rFonts w:hint="eastAsia" w:ascii="宋体" w:hAnsi="宋体"/>
          <w:szCs w:val="21"/>
          <w:highlight w:val="white"/>
          <w:lang w:bidi="ar"/>
        </w:rPr>
        <w:t>（5）随机抽取评标基准值；</w:t>
      </w:r>
    </w:p>
    <w:p>
      <w:pPr>
        <w:bidi w:val="0"/>
        <w:spacing w:line="400" w:lineRule="exact"/>
        <w:ind w:left="399" w:leftChars="190"/>
        <w:rPr>
          <w:rFonts w:hint="eastAsia" w:ascii="宋体" w:hAnsi="宋体"/>
          <w:szCs w:val="21"/>
        </w:rPr>
      </w:pPr>
      <w:r>
        <w:rPr>
          <w:rFonts w:hint="eastAsia" w:ascii="宋体" w:hAnsi="宋体"/>
          <w:szCs w:val="21"/>
          <w:highlight w:val="white"/>
          <w:lang w:bidi="ar"/>
        </w:rPr>
        <w:t>（</w:t>
      </w:r>
      <w:r>
        <w:rPr>
          <w:rFonts w:hint="eastAsia" w:ascii="宋体" w:hAnsi="宋体"/>
          <w:szCs w:val="21"/>
          <w:highlight w:val="white"/>
          <w:lang w:val="en-US" w:eastAsia="zh-CN" w:bidi="ar"/>
        </w:rPr>
        <w:t>6</w:t>
      </w:r>
      <w:r>
        <w:rPr>
          <w:rFonts w:hint="eastAsia" w:ascii="宋体" w:hAnsi="宋体"/>
          <w:szCs w:val="21"/>
          <w:highlight w:val="white"/>
          <w:lang w:bidi="ar"/>
        </w:rPr>
        <w:t>）公布开标结果；</w:t>
      </w:r>
      <w:r>
        <w:rPr>
          <w:rFonts w:hint="eastAsia" w:ascii="宋体" w:hAnsi="宋体"/>
          <w:szCs w:val="21"/>
          <w:highlight w:val="white"/>
          <w:lang w:bidi="ar"/>
        </w:rPr>
        <w:br w:type="textWrapping"/>
      </w:r>
      <w:r>
        <w:rPr>
          <w:rFonts w:hint="eastAsia" w:ascii="宋体" w:hAnsi="宋体"/>
          <w:szCs w:val="21"/>
          <w:highlight w:val="white"/>
          <w:lang w:bidi="ar"/>
        </w:rPr>
        <w:t>（</w:t>
      </w:r>
      <w:r>
        <w:rPr>
          <w:rFonts w:hint="eastAsia" w:ascii="宋体" w:hAnsi="宋体"/>
          <w:szCs w:val="21"/>
          <w:highlight w:val="white"/>
          <w:lang w:val="en-US" w:eastAsia="zh-CN" w:bidi="ar"/>
        </w:rPr>
        <w:t>7</w:t>
      </w:r>
      <w:r>
        <w:rPr>
          <w:rFonts w:hint="eastAsia" w:ascii="宋体" w:hAnsi="宋体"/>
          <w:szCs w:val="21"/>
          <w:highlight w:val="white"/>
          <w:lang w:bidi="ar"/>
        </w:rPr>
        <w:t>）开标会议结束。</w:t>
      </w:r>
      <w:r>
        <w:rPr>
          <w:rFonts w:hint="eastAsia" w:ascii="宋体" w:hAnsi="宋体"/>
          <w:szCs w:val="21"/>
          <w:highlight w:val="white"/>
          <w:lang w:bidi="ar"/>
        </w:rPr>
        <w:br w:type="textWrapping"/>
      </w:r>
      <w:r>
        <w:rPr>
          <w:rFonts w:hint="eastAsia" w:ascii="宋体" w:hAnsi="宋体"/>
          <w:szCs w:val="21"/>
          <w:highlight w:val="white"/>
          <w:lang w:bidi="ar"/>
        </w:rPr>
        <w:t xml:space="preserve"> </w:t>
      </w:r>
    </w:p>
    <w:p>
      <w:pPr>
        <w:bidi w:val="0"/>
        <w:rPr>
          <w:highlight w:val="cyan"/>
        </w:rPr>
      </w:pPr>
      <w:r>
        <w:rPr>
          <w:color w:val="000080"/>
          <w:sz w:val="20"/>
          <w:highlight w:val="white"/>
        </w:rPr>
        <w:t xml:space="preserve"> </w:t>
      </w:r>
    </w:p>
    <w:p>
      <w:pPr>
        <w:bidi w:val="0"/>
        <w:rPr>
          <w:rFonts w:hint="eastAsia"/>
          <w:highlight w:val="yellow"/>
        </w:rPr>
      </w:pPr>
      <w:r>
        <w:rPr>
          <w:color w:val="000080"/>
          <w:sz w:val="20"/>
          <w:highlight w:val="white"/>
        </w:rPr>
        <w:t xml:space="preserve">  </w:t>
      </w:r>
    </w:p>
    <w:p>
      <w:pPr>
        <w:pStyle w:val="3"/>
        <w:wordWrap w:val="0"/>
        <w:bidi w:val="0"/>
        <w:spacing w:line="360" w:lineRule="auto"/>
        <w:rPr>
          <w:rFonts w:ascii="Times New Roman" w:hAnsi="Times New Roman"/>
        </w:rPr>
      </w:pPr>
      <w:bookmarkStart w:id="45" w:name="_Toc10383"/>
      <w:r>
        <w:rPr>
          <w:rFonts w:ascii="Times New Roman" w:hAnsi="Times New Roman"/>
          <w:highlight w:val="white"/>
        </w:rPr>
        <w:t>6 评标</w:t>
      </w:r>
      <w:bookmarkEnd w:id="45"/>
    </w:p>
    <w:p>
      <w:pPr>
        <w:pStyle w:val="4"/>
        <w:wordWrap w:val="0"/>
        <w:bidi w:val="0"/>
      </w:pPr>
      <w:bookmarkStart w:id="46" w:name="_Toc6475"/>
      <w:r>
        <w:rPr>
          <w:highlight w:val="white"/>
        </w:rPr>
        <w:t>6.1 评标委员会</w:t>
      </w:r>
      <w:bookmarkEnd w:id="46"/>
    </w:p>
    <w:p>
      <w:pPr>
        <w:wordWrap w:val="0"/>
        <w:bidi w:val="0"/>
        <w:spacing w:line="360" w:lineRule="auto"/>
        <w:ind w:firstLine="420" w:firstLineChars="200"/>
        <w:rPr>
          <w:szCs w:val="21"/>
        </w:rPr>
      </w:pPr>
      <w:r>
        <w:rPr>
          <w:szCs w:val="21"/>
          <w:highlight w:val="white"/>
        </w:rPr>
        <w:t>6.1.1 评标由招标人依法组建的评标委员会负责。评标委员会成员人数以及技术、经济等方面专家的确定方式见“投标人须知前附表”。</w:t>
      </w:r>
    </w:p>
    <w:p>
      <w:pPr>
        <w:wordWrap w:val="0"/>
        <w:bidi w:val="0"/>
        <w:spacing w:line="360" w:lineRule="auto"/>
        <w:ind w:firstLine="420" w:firstLineChars="200"/>
        <w:rPr>
          <w:szCs w:val="21"/>
        </w:rPr>
      </w:pPr>
      <w:r>
        <w:rPr>
          <w:szCs w:val="21"/>
          <w:highlight w:val="white"/>
        </w:rPr>
        <w:t>6.1.2 评标委员会成员有下列情形之一的，应当回避：</w:t>
      </w:r>
    </w:p>
    <w:p>
      <w:pPr>
        <w:wordWrap w:val="0"/>
        <w:bidi w:val="0"/>
        <w:spacing w:line="360" w:lineRule="auto"/>
        <w:ind w:firstLine="420" w:firstLineChars="200"/>
        <w:rPr>
          <w:szCs w:val="21"/>
        </w:rPr>
      </w:pPr>
      <w:r>
        <w:rPr>
          <w:szCs w:val="21"/>
          <w:highlight w:val="white"/>
        </w:rPr>
        <w:t>（1）投标人或投标人的主要负责人的近亲属；</w:t>
      </w:r>
    </w:p>
    <w:p>
      <w:pPr>
        <w:wordWrap w:val="0"/>
        <w:bidi w:val="0"/>
        <w:spacing w:line="360" w:lineRule="auto"/>
        <w:ind w:firstLine="420" w:firstLineChars="200"/>
        <w:rPr>
          <w:szCs w:val="21"/>
        </w:rPr>
      </w:pPr>
      <w:r>
        <w:rPr>
          <w:szCs w:val="21"/>
          <w:highlight w:val="white"/>
        </w:rPr>
        <w:t>（2）项目主管部门或者行政监督部门的人员；</w:t>
      </w:r>
    </w:p>
    <w:p>
      <w:pPr>
        <w:wordWrap w:val="0"/>
        <w:bidi w:val="0"/>
        <w:spacing w:line="360" w:lineRule="auto"/>
        <w:ind w:firstLine="420" w:firstLineChars="200"/>
        <w:rPr>
          <w:szCs w:val="21"/>
        </w:rPr>
      </w:pPr>
      <w:r>
        <w:rPr>
          <w:szCs w:val="21"/>
          <w:highlight w:val="white"/>
        </w:rPr>
        <w:t>（3）与投标人有经济利益关系，可能影响对投标公正评审的；</w:t>
      </w:r>
    </w:p>
    <w:p>
      <w:pPr>
        <w:wordWrap w:val="0"/>
        <w:bidi w:val="0"/>
        <w:spacing w:line="360" w:lineRule="auto"/>
        <w:ind w:firstLine="420" w:firstLineChars="200"/>
        <w:rPr>
          <w:rFonts w:hint="eastAsia"/>
          <w:szCs w:val="21"/>
        </w:rPr>
      </w:pPr>
      <w:r>
        <w:rPr>
          <w:szCs w:val="21"/>
          <w:highlight w:val="white"/>
        </w:rPr>
        <w:t>（4）曾因在招标、评标以及其他与招标投标有关活动中从事违法行为而受过行政处罚或刑事处罚的。</w:t>
      </w:r>
    </w:p>
    <w:p>
      <w:pPr>
        <w:pStyle w:val="4"/>
        <w:wordWrap w:val="0"/>
        <w:bidi w:val="0"/>
      </w:pPr>
      <w:bookmarkStart w:id="47" w:name="_Toc11135"/>
      <w:r>
        <w:rPr>
          <w:highlight w:val="white"/>
        </w:rPr>
        <w:t>6.2</w:t>
      </w:r>
      <w:r>
        <w:rPr>
          <w:rFonts w:hint="eastAsia"/>
          <w:highlight w:val="white"/>
        </w:rPr>
        <w:t xml:space="preserve"> </w:t>
      </w:r>
      <w:r>
        <w:rPr>
          <w:highlight w:val="white"/>
        </w:rPr>
        <w:t>投标文件的澄清</w:t>
      </w:r>
      <w:bookmarkEnd w:id="47"/>
    </w:p>
    <w:p>
      <w:pPr>
        <w:wordWrap w:val="0"/>
        <w:bidi w:val="0"/>
        <w:spacing w:line="360" w:lineRule="auto"/>
        <w:ind w:firstLine="420" w:firstLineChars="200"/>
        <w:rPr>
          <w:szCs w:val="21"/>
        </w:rPr>
      </w:pPr>
      <w:r>
        <w:rPr>
          <w:szCs w:val="21"/>
          <w:highlight w:val="white"/>
        </w:rPr>
        <w:t>6.2.1</w:t>
      </w:r>
      <w:r>
        <w:rPr>
          <w:rFonts w:hint="eastAsia"/>
          <w:szCs w:val="21"/>
          <w:highlight w:val="white"/>
        </w:rPr>
        <w:t xml:space="preserve"> 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由于投标人法定代表人或其授权委托代理人自身原因造成的无法及时澄清评标委员会提出的问题，其后果由投标人自负。</w:t>
      </w:r>
    </w:p>
    <w:p>
      <w:pPr>
        <w:wordWrap w:val="0"/>
        <w:bidi w:val="0"/>
        <w:spacing w:line="360" w:lineRule="auto"/>
        <w:ind w:firstLine="420" w:firstLineChars="200"/>
        <w:rPr>
          <w:rFonts w:hint="eastAsia"/>
          <w:szCs w:val="21"/>
        </w:rPr>
      </w:pPr>
      <w:r>
        <w:rPr>
          <w:szCs w:val="21"/>
          <w:highlight w:val="white"/>
        </w:rPr>
        <w:t>6.2.</w:t>
      </w:r>
      <w:r>
        <w:rPr>
          <w:rFonts w:hint="eastAsia"/>
          <w:szCs w:val="21"/>
          <w:highlight w:val="white"/>
          <w:lang w:val="en-US" w:eastAsia="zh-CN"/>
        </w:rPr>
        <w:t>2</w:t>
      </w:r>
      <w:r>
        <w:rPr>
          <w:rFonts w:hint="eastAsia"/>
          <w:szCs w:val="21"/>
          <w:highlight w:val="white"/>
        </w:rPr>
        <w:t>投标文件中大写金</w:t>
      </w:r>
      <w:r>
        <w:rPr>
          <w:rFonts w:hint="eastAsia" w:ascii="宋体" w:hAnsi="宋体"/>
          <w:szCs w:val="21"/>
          <w:highlight w:val="white"/>
        </w:rPr>
        <w:t>额和小写金额不一致的，以大写金额为准；总价金额与单价金额不一致的，以单价金额为准，但单价金额小数点有明显错误的除外；对不同文字文本投标文件的解释发生异议的，以中文文本为准。投标文件的商务标中出现报价金额、工期质量要求有差别时，均以</w:t>
      </w:r>
      <w:r>
        <w:rPr>
          <w:rFonts w:ascii="宋体" w:hAnsi="宋体"/>
          <w:szCs w:val="21"/>
          <w:highlight w:val="white"/>
        </w:rPr>
        <w:t>“</w:t>
      </w:r>
      <w:r>
        <w:rPr>
          <w:rFonts w:hint="eastAsia" w:ascii="宋体" w:hAnsi="宋体"/>
          <w:szCs w:val="21"/>
          <w:highlight w:val="white"/>
        </w:rPr>
        <w:t>投标函</w:t>
      </w:r>
      <w:r>
        <w:rPr>
          <w:rFonts w:ascii="宋体" w:hAnsi="宋体"/>
          <w:szCs w:val="21"/>
          <w:highlight w:val="white"/>
        </w:rPr>
        <w:t>”</w:t>
      </w:r>
      <w:r>
        <w:rPr>
          <w:rFonts w:hint="eastAsia" w:ascii="宋体" w:hAnsi="宋体"/>
          <w:szCs w:val="21"/>
          <w:highlight w:val="white"/>
        </w:rPr>
        <w:t>中的报价金额、工期、质量要求为准。评标委员会将按上述规定的原则，要求投标人改正报价中</w:t>
      </w:r>
      <w:r>
        <w:rPr>
          <w:rFonts w:hint="eastAsia"/>
          <w:szCs w:val="21"/>
          <w:highlight w:val="white"/>
        </w:rPr>
        <w:t>的算术错误，改正后的投标报价汇总表需经评标委员会和投标人共同确认，并对投标人起约束作用，如投标人不接受修改后的报价，则其投标将被拒绝。</w:t>
      </w:r>
    </w:p>
    <w:p>
      <w:pPr>
        <w:pStyle w:val="4"/>
        <w:wordWrap w:val="0"/>
        <w:bidi w:val="0"/>
      </w:pPr>
      <w:bookmarkStart w:id="48" w:name="_Toc27869"/>
      <w:r>
        <w:rPr>
          <w:highlight w:val="white"/>
        </w:rPr>
        <w:t>6.3</w:t>
      </w:r>
      <w:r>
        <w:rPr>
          <w:rFonts w:hint="eastAsia"/>
          <w:highlight w:val="white"/>
        </w:rPr>
        <w:t xml:space="preserve"> </w:t>
      </w:r>
      <w:r>
        <w:rPr>
          <w:highlight w:val="white"/>
        </w:rPr>
        <w:t>投标文件的审查</w:t>
      </w:r>
      <w:bookmarkEnd w:id="48"/>
    </w:p>
    <w:p>
      <w:pPr>
        <w:wordWrap w:val="0"/>
        <w:bidi w:val="0"/>
        <w:spacing w:line="360" w:lineRule="auto"/>
        <w:ind w:firstLine="420" w:firstLineChars="200"/>
        <w:rPr>
          <w:rFonts w:ascii="宋体" w:hAnsi="宋体"/>
          <w:szCs w:val="21"/>
        </w:rPr>
      </w:pPr>
      <w:r>
        <w:rPr>
          <w:szCs w:val="21"/>
          <w:highlight w:val="white"/>
        </w:rPr>
        <w:t>6.3.1</w:t>
      </w:r>
      <w:r>
        <w:rPr>
          <w:rFonts w:hint="eastAsia"/>
          <w:szCs w:val="21"/>
          <w:highlight w:val="white"/>
        </w:rPr>
        <w:t xml:space="preserve"> </w:t>
      </w:r>
      <w:r>
        <w:rPr>
          <w:szCs w:val="21"/>
          <w:highlight w:val="white"/>
        </w:rPr>
        <w:t>在评标过程中，评标委员会若发现投标人</w:t>
      </w:r>
      <w:r>
        <w:rPr>
          <w:rFonts w:hint="eastAsia"/>
          <w:szCs w:val="21"/>
          <w:highlight w:val="white"/>
        </w:rPr>
        <w:t>有</w:t>
      </w:r>
      <w:r>
        <w:rPr>
          <w:szCs w:val="21"/>
          <w:highlight w:val="white"/>
        </w:rPr>
        <w:t>以他人的名义投标、串通投标、</w:t>
      </w:r>
      <w:r>
        <w:rPr>
          <w:rFonts w:hint="eastAsia"/>
          <w:szCs w:val="21"/>
          <w:highlight w:val="white"/>
        </w:rPr>
        <w:t>弄虚作假、</w:t>
      </w:r>
      <w:r>
        <w:rPr>
          <w:szCs w:val="21"/>
          <w:highlight w:val="white"/>
        </w:rPr>
        <w:t>行贿</w:t>
      </w:r>
      <w:r>
        <w:rPr>
          <w:rFonts w:hint="eastAsia"/>
          <w:szCs w:val="21"/>
          <w:highlight w:val="white"/>
        </w:rPr>
        <w:t>等违法行为之一的</w:t>
      </w:r>
      <w:r>
        <w:rPr>
          <w:szCs w:val="21"/>
          <w:highlight w:val="white"/>
        </w:rPr>
        <w:t>，</w:t>
      </w:r>
      <w:r>
        <w:rPr>
          <w:rFonts w:hint="eastAsia" w:ascii="宋体" w:hAnsi="宋体"/>
          <w:szCs w:val="21"/>
          <w:highlight w:val="white"/>
        </w:rPr>
        <w:t>评标委员会应当否决其投标</w:t>
      </w:r>
      <w:r>
        <w:rPr>
          <w:rFonts w:ascii="宋体" w:hAnsi="宋体"/>
          <w:szCs w:val="21"/>
          <w:highlight w:val="white"/>
        </w:rPr>
        <w:t>。</w:t>
      </w:r>
    </w:p>
    <w:p>
      <w:pPr>
        <w:bidi w:val="0"/>
        <w:spacing w:line="400" w:lineRule="exact"/>
        <w:ind w:firstLine="420" w:firstLineChars="200"/>
        <w:rPr>
          <w:rFonts w:ascii="宋体" w:hAnsi="宋体"/>
          <w:szCs w:val="21"/>
        </w:rPr>
      </w:pPr>
      <w:r>
        <w:rPr>
          <w:rFonts w:ascii="宋体" w:hAnsi="宋体"/>
          <w:szCs w:val="21"/>
          <w:highlight w:val="white"/>
        </w:rPr>
        <w:t>6.3.2</w:t>
      </w:r>
      <w:r>
        <w:rPr>
          <w:rFonts w:hint="eastAsia" w:ascii="宋体" w:hAnsi="宋体"/>
          <w:szCs w:val="21"/>
          <w:highlight w:val="white"/>
        </w:rPr>
        <w:t xml:space="preserve"> </w:t>
      </w:r>
      <w:r>
        <w:rPr>
          <w:rFonts w:ascii="宋体" w:hAnsi="宋体"/>
          <w:szCs w:val="21"/>
          <w:highlight w:val="white"/>
        </w:rPr>
        <w:t>投标人资格条件不符合国家有关规定和招标文件要求的，或者拒不按照要求对投标文件进行澄清、说明或者补正的，评标委员会可以否决其投标。</w:t>
      </w:r>
    </w:p>
    <w:p>
      <w:pPr>
        <w:bidi w:val="0"/>
        <w:spacing w:line="400" w:lineRule="exact"/>
        <w:ind w:firstLine="420" w:firstLineChars="200"/>
        <w:rPr>
          <w:rFonts w:ascii="宋体" w:hAnsi="宋体"/>
          <w:szCs w:val="21"/>
        </w:rPr>
      </w:pPr>
      <w:r>
        <w:rPr>
          <w:rFonts w:hint="eastAsia" w:ascii="宋体" w:hAnsi="宋体"/>
          <w:szCs w:val="21"/>
          <w:highlight w:val="white"/>
        </w:rPr>
        <w:t>6.3.3 投标文件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评标委员会应当书面要求存在细微偏差的投标人在评标结束前予以补正。</w:t>
      </w:r>
    </w:p>
    <w:p>
      <w:pPr>
        <w:wordWrap w:val="0"/>
        <w:bidi w:val="0"/>
        <w:spacing w:line="360" w:lineRule="auto"/>
        <w:ind w:firstLine="420" w:firstLineChars="200"/>
        <w:rPr>
          <w:szCs w:val="21"/>
        </w:rPr>
      </w:pPr>
      <w:r>
        <w:rPr>
          <w:rFonts w:hint="eastAsia"/>
          <w:szCs w:val="21"/>
          <w:highlight w:val="white"/>
        </w:rPr>
        <w:t>6.3.4投标文件有下列情况之一的，属于重大偏差，视为未能对招标文件作出实质性响应，应当作为无效投标予以否决：</w:t>
      </w:r>
    </w:p>
    <w:p>
      <w:pPr>
        <w:wordWrap w:val="0"/>
        <w:bidi w:val="0"/>
        <w:spacing w:line="360" w:lineRule="auto"/>
        <w:ind w:firstLine="420" w:firstLineChars="200"/>
        <w:rPr>
          <w:szCs w:val="21"/>
        </w:rPr>
      </w:pPr>
      <w:r>
        <w:rPr>
          <w:szCs w:val="21"/>
          <w:highlight w:val="white"/>
        </w:rPr>
        <w:t>6.3.4.1投标文件中的投标函未加盖投标人的公章；</w:t>
      </w:r>
    </w:p>
    <w:p>
      <w:pPr>
        <w:wordWrap w:val="0"/>
        <w:bidi w:val="0"/>
        <w:spacing w:line="360" w:lineRule="auto"/>
        <w:ind w:firstLine="420" w:firstLineChars="200"/>
        <w:rPr>
          <w:szCs w:val="21"/>
        </w:rPr>
      </w:pPr>
      <w:r>
        <w:rPr>
          <w:szCs w:val="21"/>
          <w:highlight w:val="white"/>
        </w:rPr>
        <w:t>6.3.4.2投标文件中的投标函未加盖企业法定代表人（或企业法定代表人委托代理人）印章（或签字）的；</w:t>
      </w:r>
    </w:p>
    <w:p>
      <w:pPr>
        <w:wordWrap w:val="0"/>
        <w:bidi w:val="0"/>
        <w:spacing w:line="360" w:lineRule="auto"/>
        <w:ind w:firstLine="420" w:firstLineChars="200"/>
        <w:rPr>
          <w:szCs w:val="21"/>
        </w:rPr>
      </w:pPr>
      <w:r>
        <w:rPr>
          <w:szCs w:val="21"/>
          <w:highlight w:val="white"/>
        </w:rPr>
        <w:t>6.3.4.3投标函加盖企业法定代表人委托代理人印章（或签字），企业法定代表人委托代理人没有合法、有效的委托书的；</w:t>
      </w:r>
    </w:p>
    <w:p>
      <w:pPr>
        <w:wordWrap w:val="0"/>
        <w:bidi w:val="0"/>
        <w:spacing w:line="360" w:lineRule="auto"/>
        <w:ind w:firstLine="420" w:firstLineChars="200"/>
        <w:rPr>
          <w:szCs w:val="21"/>
        </w:rPr>
      </w:pPr>
      <w:r>
        <w:rPr>
          <w:szCs w:val="21"/>
          <w:highlight w:val="white"/>
        </w:rPr>
        <w:t>6.3.4.4投标人资质条件不符合国家有关规定，或者不满足招标文件规定的资格条件的；</w:t>
      </w:r>
    </w:p>
    <w:p>
      <w:pPr>
        <w:wordWrap w:val="0"/>
        <w:bidi w:val="0"/>
        <w:spacing w:line="360" w:lineRule="auto"/>
        <w:ind w:firstLine="420" w:firstLineChars="200"/>
        <w:rPr>
          <w:szCs w:val="21"/>
        </w:rPr>
      </w:pPr>
      <w:r>
        <w:rPr>
          <w:szCs w:val="21"/>
          <w:highlight w:val="white"/>
        </w:rPr>
        <w:t>6.3.4.5投标人名称或组织结构与资格预审时不一致的；</w:t>
      </w:r>
    </w:p>
    <w:p>
      <w:pPr>
        <w:wordWrap w:val="0"/>
        <w:bidi w:val="0"/>
        <w:spacing w:line="360" w:lineRule="auto"/>
        <w:ind w:firstLine="420" w:firstLineChars="200"/>
        <w:rPr>
          <w:szCs w:val="21"/>
        </w:rPr>
      </w:pPr>
      <w:r>
        <w:rPr>
          <w:szCs w:val="21"/>
          <w:highlight w:val="white"/>
        </w:rPr>
        <w:t>6.3.4.6除在投标截止时间前经招标人书面同意外，项目负责人与资格预审时不一致的；</w:t>
      </w:r>
    </w:p>
    <w:p>
      <w:pPr>
        <w:wordWrap w:val="0"/>
        <w:bidi w:val="0"/>
        <w:spacing w:line="360" w:lineRule="auto"/>
        <w:ind w:firstLine="420" w:firstLineChars="200"/>
        <w:rPr>
          <w:szCs w:val="21"/>
        </w:rPr>
      </w:pPr>
      <w:r>
        <w:rPr>
          <w:szCs w:val="21"/>
          <w:highlight w:val="white"/>
        </w:rPr>
        <w:t>6.3.4.7组成联合体投标未提供联合体各方共同投标协议的；</w:t>
      </w:r>
    </w:p>
    <w:p>
      <w:pPr>
        <w:wordWrap w:val="0"/>
        <w:bidi w:val="0"/>
        <w:spacing w:line="360" w:lineRule="auto"/>
        <w:ind w:firstLine="420" w:firstLineChars="200"/>
        <w:rPr>
          <w:szCs w:val="21"/>
        </w:rPr>
      </w:pPr>
      <w:r>
        <w:rPr>
          <w:szCs w:val="21"/>
          <w:highlight w:val="white"/>
        </w:rPr>
        <w:t>6.3.4.8在同一招标项目中，联合体成员以自己名义单独投标或者参加其他联合体投标的；</w:t>
      </w:r>
    </w:p>
    <w:p>
      <w:pPr>
        <w:wordWrap w:val="0"/>
        <w:bidi w:val="0"/>
        <w:spacing w:line="360" w:lineRule="auto"/>
        <w:ind w:firstLine="420" w:firstLineChars="200"/>
        <w:rPr>
          <w:szCs w:val="21"/>
        </w:rPr>
      </w:pPr>
      <w:r>
        <w:rPr>
          <w:szCs w:val="21"/>
          <w:highlight w:val="white"/>
        </w:rPr>
        <w:t>6.3.4.9联合体成员与资格预审确定的结果不一致的；</w:t>
      </w:r>
    </w:p>
    <w:p>
      <w:pPr>
        <w:wordWrap w:val="0"/>
        <w:bidi w:val="0"/>
        <w:spacing w:line="360" w:lineRule="auto"/>
        <w:ind w:firstLine="420" w:firstLineChars="200"/>
        <w:rPr>
          <w:szCs w:val="21"/>
        </w:rPr>
      </w:pPr>
      <w:r>
        <w:rPr>
          <w:szCs w:val="21"/>
          <w:highlight w:val="white"/>
        </w:rPr>
        <w:t>6.3.4.10投标报价低于工程成本或者高于招标文件设定的招标控制价或者招标人设置的投标限价的；</w:t>
      </w:r>
    </w:p>
    <w:p>
      <w:pPr>
        <w:wordWrap w:val="0"/>
        <w:bidi w:val="0"/>
        <w:spacing w:line="360" w:lineRule="auto"/>
        <w:ind w:firstLine="420" w:firstLineChars="200"/>
        <w:rPr>
          <w:szCs w:val="21"/>
        </w:rPr>
      </w:pPr>
      <w:r>
        <w:rPr>
          <w:szCs w:val="21"/>
          <w:highlight w:val="white"/>
        </w:rPr>
        <w:t>6.3.4.11同一投标人提交两个及以上不同的投标文件或者投标报价，但招标文件要求提交备选投标的除外；</w:t>
      </w:r>
    </w:p>
    <w:p>
      <w:pPr>
        <w:wordWrap w:val="0"/>
        <w:bidi w:val="0"/>
        <w:spacing w:line="360" w:lineRule="auto"/>
        <w:ind w:firstLine="420" w:firstLineChars="200"/>
        <w:rPr>
          <w:szCs w:val="21"/>
        </w:rPr>
      </w:pPr>
      <w:r>
        <w:rPr>
          <w:szCs w:val="21"/>
          <w:highlight w:val="white"/>
        </w:rPr>
        <w:t>6.3.4.12投标文件中已标价工程量清单与招标文件规定的暂估价、暂列金额及甲供材料价格不一致的；</w:t>
      </w:r>
    </w:p>
    <w:p>
      <w:pPr>
        <w:wordWrap w:val="0"/>
        <w:bidi w:val="0"/>
        <w:spacing w:line="360" w:lineRule="auto"/>
        <w:ind w:firstLine="420" w:firstLineChars="200"/>
        <w:rPr>
          <w:szCs w:val="21"/>
        </w:rPr>
      </w:pPr>
      <w:r>
        <w:rPr>
          <w:szCs w:val="21"/>
          <w:highlight w:val="white"/>
        </w:rPr>
        <w:t>6.3.4.13投标文件中已标价工程量清单与招标文件明确列出的不可竞争费用项目或费率或计算基础不一致的；</w:t>
      </w:r>
    </w:p>
    <w:p>
      <w:pPr>
        <w:wordWrap w:val="0"/>
        <w:bidi w:val="0"/>
        <w:spacing w:line="360" w:lineRule="auto"/>
        <w:ind w:firstLine="420" w:firstLineChars="200"/>
        <w:rPr>
          <w:szCs w:val="21"/>
        </w:rPr>
      </w:pPr>
      <w:r>
        <w:rPr>
          <w:szCs w:val="21"/>
          <w:highlight w:val="white"/>
        </w:rPr>
        <w:t>6.3.4.14投标文件的已标价工程量清单与招标文件提供的工程量清单中的项目编码、项目名称、项目特征、计量单位、工程量不一致的；</w:t>
      </w:r>
    </w:p>
    <w:p>
      <w:pPr>
        <w:wordWrap w:val="0"/>
        <w:bidi w:val="0"/>
        <w:spacing w:line="360" w:lineRule="auto"/>
        <w:ind w:firstLine="420" w:firstLineChars="200"/>
        <w:rPr>
          <w:szCs w:val="21"/>
        </w:rPr>
      </w:pPr>
      <w:r>
        <w:rPr>
          <w:szCs w:val="21"/>
          <w:highlight w:val="white"/>
        </w:rPr>
        <w:t>6.3.4.15未按招标文件要求提供投标保证金的；</w:t>
      </w:r>
    </w:p>
    <w:p>
      <w:pPr>
        <w:wordWrap w:val="0"/>
        <w:bidi w:val="0"/>
        <w:spacing w:line="360" w:lineRule="auto"/>
        <w:ind w:firstLine="420" w:firstLineChars="200"/>
        <w:rPr>
          <w:szCs w:val="21"/>
        </w:rPr>
      </w:pPr>
      <w:r>
        <w:rPr>
          <w:szCs w:val="21"/>
          <w:highlight w:val="white"/>
        </w:rPr>
        <w:t>6.3.4.16投标文件载明的招标项目完成期限超过招标文件规定的期限的；</w:t>
      </w:r>
    </w:p>
    <w:p>
      <w:pPr>
        <w:wordWrap w:val="0"/>
        <w:bidi w:val="0"/>
        <w:spacing w:line="360" w:lineRule="auto"/>
        <w:ind w:firstLine="420" w:firstLineChars="200"/>
        <w:rPr>
          <w:szCs w:val="21"/>
        </w:rPr>
      </w:pPr>
      <w:r>
        <w:rPr>
          <w:szCs w:val="21"/>
          <w:highlight w:val="white"/>
        </w:rPr>
        <w:t>6.3.4.17明显不符合技术规范、技术标准的要求的；</w:t>
      </w:r>
    </w:p>
    <w:p>
      <w:pPr>
        <w:wordWrap w:val="0"/>
        <w:bidi w:val="0"/>
        <w:spacing w:line="360" w:lineRule="auto"/>
        <w:ind w:firstLine="420" w:firstLineChars="200"/>
        <w:rPr>
          <w:szCs w:val="21"/>
        </w:rPr>
      </w:pPr>
      <w:r>
        <w:rPr>
          <w:szCs w:val="21"/>
          <w:highlight w:val="white"/>
        </w:rPr>
        <w:t>6.3.4.18投标文件载明的货物包装方式、检验标准和方法等不符合招标文件的要求的；</w:t>
      </w:r>
    </w:p>
    <w:p>
      <w:pPr>
        <w:wordWrap w:val="0"/>
        <w:bidi w:val="0"/>
        <w:spacing w:line="360" w:lineRule="auto"/>
        <w:ind w:firstLine="420" w:firstLineChars="200"/>
        <w:rPr>
          <w:szCs w:val="21"/>
        </w:rPr>
      </w:pPr>
      <w:r>
        <w:rPr>
          <w:szCs w:val="21"/>
          <w:highlight w:val="white"/>
        </w:rPr>
        <w:t>6.3.4.19投标文件提出了不能满足招标文件要求或招标人不能接受的工程验收、计量、价款结算和支付办法的；</w:t>
      </w:r>
    </w:p>
    <w:p>
      <w:pPr>
        <w:wordWrap w:val="0"/>
        <w:bidi w:val="0"/>
        <w:spacing w:line="360" w:lineRule="auto"/>
        <w:ind w:firstLine="420" w:firstLineChars="200"/>
        <w:rPr>
          <w:szCs w:val="21"/>
        </w:rPr>
      </w:pPr>
      <w:r>
        <w:rPr>
          <w:szCs w:val="21"/>
          <w:highlight w:val="white"/>
        </w:rPr>
        <w:t>6.3.4.20未按招标文件要求提供电子投标文件，或者投标文件未能解密且按照招标文件明确的投标文件解密失败的补救方案补救不成功的；</w:t>
      </w:r>
    </w:p>
    <w:p>
      <w:pPr>
        <w:wordWrap w:val="0"/>
        <w:bidi w:val="0"/>
        <w:spacing w:line="360" w:lineRule="auto"/>
        <w:ind w:firstLine="420" w:firstLineChars="200"/>
        <w:rPr>
          <w:szCs w:val="21"/>
        </w:rPr>
      </w:pPr>
      <w:r>
        <w:rPr>
          <w:szCs w:val="21"/>
          <w:highlight w:val="white"/>
        </w:rPr>
        <w:t>6.3.4.21不同投标人的投标文件以及投标文件制作过程出现了评标委员会认为不应当雷同的情况的；</w:t>
      </w:r>
    </w:p>
    <w:p>
      <w:pPr>
        <w:wordWrap w:val="0"/>
        <w:bidi w:val="0"/>
        <w:spacing w:line="360" w:lineRule="auto"/>
        <w:ind w:firstLine="420" w:firstLineChars="200"/>
        <w:rPr>
          <w:szCs w:val="21"/>
        </w:rPr>
      </w:pPr>
      <w:r>
        <w:rPr>
          <w:szCs w:val="21"/>
          <w:highlight w:val="white"/>
        </w:rPr>
        <w:t>6.3.4.22以他人的名义投标、串通投标、以行贿手段谋取中标或者以其他弄虚作假方式投标的；</w:t>
      </w:r>
    </w:p>
    <w:p>
      <w:pPr>
        <w:wordWrap w:val="0"/>
        <w:bidi w:val="0"/>
        <w:spacing w:line="360" w:lineRule="auto"/>
        <w:ind w:firstLine="420" w:firstLineChars="200"/>
        <w:rPr>
          <w:szCs w:val="21"/>
        </w:rPr>
      </w:pPr>
      <w:r>
        <w:rPr>
          <w:szCs w:val="21"/>
          <w:highlight w:val="white"/>
        </w:rPr>
        <w:t>6.3.4.23施工组织设计（施工方案）存在明显技术方案错误、或者不符合招标文件有关暗标要求的；</w:t>
      </w:r>
    </w:p>
    <w:p>
      <w:pPr>
        <w:wordWrap w:val="0"/>
        <w:bidi w:val="0"/>
        <w:spacing w:line="360" w:lineRule="auto"/>
        <w:ind w:firstLine="420" w:firstLineChars="200"/>
        <w:rPr>
          <w:szCs w:val="21"/>
        </w:rPr>
      </w:pPr>
      <w:r>
        <w:rPr>
          <w:szCs w:val="21"/>
          <w:highlight w:val="white"/>
        </w:rPr>
        <w:t>6.3.4.24投标文件关键内容模糊、无法辨认的；</w:t>
      </w:r>
    </w:p>
    <w:p>
      <w:pPr>
        <w:wordWrap w:val="0"/>
        <w:bidi w:val="0"/>
        <w:spacing w:line="360" w:lineRule="auto"/>
        <w:ind w:firstLine="420" w:firstLineChars="200"/>
        <w:rPr>
          <w:szCs w:val="21"/>
        </w:rPr>
      </w:pPr>
      <w:r>
        <w:rPr>
          <w:szCs w:val="21"/>
          <w:highlight w:val="white"/>
        </w:rPr>
        <w:t>6.3.4.25企业法定代表人（或其委托代理人）未按投标人须知5.1.</w:t>
      </w:r>
      <w:r>
        <w:rPr>
          <w:rFonts w:hint="eastAsia"/>
          <w:szCs w:val="21"/>
          <w:highlight w:val="white"/>
        </w:rPr>
        <w:t>4</w:t>
      </w:r>
      <w:r>
        <w:rPr>
          <w:szCs w:val="21"/>
          <w:highlight w:val="white"/>
        </w:rPr>
        <w:t>条款要求参加开标会议的。</w:t>
      </w:r>
      <w:r>
        <w:rPr>
          <w:rFonts w:hint="eastAsia"/>
          <w:szCs w:val="21"/>
          <w:highlight w:val="white"/>
        </w:rPr>
        <w:t xml:space="preserve">   注：凡招标文件未集中单列的无效标条款，评标委员会不得作为否决投标、判定无效标的依据。</w:t>
      </w:r>
    </w:p>
    <w:p>
      <w:pPr>
        <w:pStyle w:val="4"/>
        <w:wordWrap w:val="0"/>
        <w:bidi w:val="0"/>
      </w:pPr>
      <w:bookmarkStart w:id="49" w:name="_Toc4421"/>
      <w:r>
        <w:rPr>
          <w:highlight w:val="white"/>
        </w:rPr>
        <w:t>6.</w:t>
      </w:r>
      <w:r>
        <w:rPr>
          <w:rFonts w:hint="eastAsia"/>
          <w:highlight w:val="white"/>
        </w:rPr>
        <w:t>4</w:t>
      </w:r>
      <w:r>
        <w:rPr>
          <w:highlight w:val="white"/>
        </w:rPr>
        <w:t xml:space="preserve"> 评标原则</w:t>
      </w:r>
      <w:bookmarkEnd w:id="49"/>
    </w:p>
    <w:p>
      <w:pPr>
        <w:wordWrap w:val="0"/>
        <w:bidi w:val="0"/>
        <w:spacing w:line="360" w:lineRule="auto"/>
        <w:ind w:firstLine="420" w:firstLineChars="200"/>
        <w:rPr>
          <w:szCs w:val="21"/>
        </w:rPr>
      </w:pPr>
      <w:r>
        <w:rPr>
          <w:szCs w:val="21"/>
          <w:highlight w:val="white"/>
        </w:rPr>
        <w:t>评标活动遵循公平、公正、科学和择优的原则。</w:t>
      </w:r>
    </w:p>
    <w:p>
      <w:pPr>
        <w:bidi w:val="0"/>
        <w:rPr>
          <w:highlight w:val="cyan"/>
        </w:rPr>
      </w:pPr>
      <w:r>
        <w:rPr>
          <w:color w:val="000080"/>
          <w:sz w:val="20"/>
          <w:highlight w:val="white"/>
        </w:rPr>
        <w:t xml:space="preserve"> </w:t>
      </w:r>
    </w:p>
    <w:p>
      <w:pPr>
        <w:bidi w:val="0"/>
        <w:rPr>
          <w:rFonts w:hint="eastAsia"/>
          <w:highlight w:val="yellow"/>
        </w:rPr>
      </w:pPr>
      <w:r>
        <w:rPr>
          <w:color w:val="000080"/>
          <w:sz w:val="20"/>
          <w:highlight w:val="white"/>
        </w:rPr>
        <w:t xml:space="preserve">  </w:t>
      </w:r>
    </w:p>
    <w:p>
      <w:pPr>
        <w:pStyle w:val="3"/>
        <w:bidi w:val="0"/>
      </w:pPr>
      <w:bookmarkStart w:id="50" w:name="_Toc14641"/>
      <w:r>
        <w:rPr>
          <w:highlight w:val="white"/>
        </w:rPr>
        <w:t>7.</w:t>
      </w:r>
      <w:r>
        <w:rPr>
          <w:rFonts w:hint="eastAsia"/>
          <w:highlight w:val="white"/>
        </w:rPr>
        <w:t xml:space="preserve"> 定标</w:t>
      </w:r>
      <w:bookmarkEnd w:id="50"/>
    </w:p>
    <w:p>
      <w:pPr>
        <w:wordWrap w:val="0"/>
        <w:bidi w:val="0"/>
        <w:spacing w:line="360" w:lineRule="auto"/>
        <w:ind w:firstLine="420" w:firstLineChars="200"/>
        <w:rPr>
          <w:szCs w:val="21"/>
        </w:rPr>
      </w:pPr>
      <w:r>
        <w:rPr>
          <w:szCs w:val="21"/>
          <w:highlight w:val="white"/>
        </w:rPr>
        <w:t>7.1</w:t>
      </w:r>
      <w:r>
        <w:rPr>
          <w:rFonts w:hint="eastAsia"/>
          <w:szCs w:val="21"/>
          <w:highlight w:val="white"/>
        </w:rPr>
        <w:t xml:space="preserve"> 评标委员会按照第三章“评标办法”规定的方法、评审因素、标准和程序对投标文件进行评审。第三章“评标办法”没有规定的方法、评审因素和标准，不作为评标依据。</w:t>
      </w:r>
    </w:p>
    <w:p>
      <w:pPr>
        <w:wordWrap w:val="0"/>
        <w:bidi w:val="0"/>
        <w:spacing w:line="360" w:lineRule="auto"/>
        <w:ind w:firstLine="420" w:firstLineChars="200"/>
        <w:rPr>
          <w:szCs w:val="21"/>
        </w:rPr>
      </w:pPr>
      <w:r>
        <w:rPr>
          <w:szCs w:val="21"/>
          <w:highlight w:val="white"/>
        </w:rPr>
        <w:t>7.2</w:t>
      </w:r>
      <w:r>
        <w:rPr>
          <w:rFonts w:hint="eastAsia"/>
          <w:szCs w:val="21"/>
          <w:highlight w:val="white"/>
        </w:rPr>
        <w:t xml:space="preserve"> 评标委员会根据规定否决不合格投标或者界定为无效标后，若有效投标人不足三家且投标明显缺乏竞争的，评标委员会可以否决全部投标；若有效投标人不足三家，且有效投标的技术方案合理可行，同其它所有投标人的报价相比其报价比较低，且在招标人的期望值范围内，评标委员会应当根据评标办法的规定继续评标并从有效投标中推荐中标候选人。</w:t>
      </w:r>
    </w:p>
    <w:p>
      <w:pPr>
        <w:wordWrap w:val="0"/>
        <w:bidi w:val="0"/>
        <w:spacing w:line="360" w:lineRule="auto"/>
        <w:ind w:firstLine="420" w:firstLineChars="200"/>
        <w:rPr>
          <w:szCs w:val="21"/>
        </w:rPr>
      </w:pPr>
      <w:r>
        <w:rPr>
          <w:szCs w:val="21"/>
          <w:highlight w:val="white"/>
        </w:rPr>
        <w:t>7.3</w:t>
      </w:r>
      <w:r>
        <w:rPr>
          <w:rFonts w:hint="eastAsia"/>
          <w:szCs w:val="21"/>
          <w:highlight w:val="white"/>
        </w:rPr>
        <w:t xml:space="preserve"> 投标人应慎重考虑选派一名项目负责人同时参加多个工程项目投标，如投标人所选派的项目负责人在多个工程项目中均被推荐为中标人，应按不同工程项目中标通知书发出的时间先后，担任该投标人最先中标项目的项目负责人，后确定该投标人为中标人的工程项目的招标人应取消其中标资格，并可以没收其投标保证金。投标文件如实说明的除外。</w:t>
      </w:r>
    </w:p>
    <w:p>
      <w:pPr>
        <w:wordWrap w:val="0"/>
        <w:bidi w:val="0"/>
        <w:spacing w:line="360" w:lineRule="auto"/>
        <w:ind w:firstLine="420" w:firstLineChars="200"/>
        <w:rPr>
          <w:szCs w:val="21"/>
        </w:rPr>
      </w:pPr>
      <w:r>
        <w:rPr>
          <w:szCs w:val="21"/>
          <w:highlight w:val="white"/>
        </w:rPr>
        <w:t>7.4</w:t>
      </w:r>
      <w:r>
        <w:rPr>
          <w:rFonts w:hint="eastAsia"/>
          <w:szCs w:val="21"/>
          <w:highlight w:val="white"/>
        </w:rPr>
        <w:t xml:space="preserve"> 定标顺序：详见投标人须知前附表。</w:t>
      </w:r>
    </w:p>
    <w:p>
      <w:pPr>
        <w:wordWrap w:val="0"/>
        <w:bidi w:val="0"/>
        <w:spacing w:line="360" w:lineRule="auto"/>
        <w:ind w:firstLine="420" w:firstLineChars="200"/>
        <w:rPr>
          <w:szCs w:val="21"/>
        </w:rPr>
      </w:pPr>
      <w:r>
        <w:rPr>
          <w:szCs w:val="21"/>
          <w:highlight w:val="white"/>
        </w:rPr>
        <w:t>7.5</w:t>
      </w:r>
      <w:r>
        <w:rPr>
          <w:rFonts w:hint="eastAsia"/>
          <w:szCs w:val="21"/>
          <w:highlight w:val="white"/>
        </w:rPr>
        <w:t xml:space="preserve"> 中标候选人公示后，排名第一的中标候选人被查实存在影响中标结果的（弄虚作假、围标串标、在建工程等）违法行为情形，不符合中标条件的，招标人可以按照评标委员会提出的中标候选人名单排序依次确定其他中标候选人为中标人，也可以重新招标。</w:t>
      </w:r>
    </w:p>
    <w:p>
      <w:pPr>
        <w:bidi w:val="0"/>
        <w:rPr>
          <w:highlight w:val="cyan"/>
        </w:rPr>
      </w:pPr>
      <w:r>
        <w:rPr>
          <w:color w:val="000080"/>
          <w:sz w:val="20"/>
          <w:highlight w:val="white"/>
        </w:rPr>
        <w:t xml:space="preserve"> </w:t>
      </w:r>
    </w:p>
    <w:p>
      <w:pPr>
        <w:bidi w:val="0"/>
        <w:rPr>
          <w:rFonts w:hint="eastAsia"/>
          <w:highlight w:val="yellow"/>
        </w:rPr>
      </w:pPr>
      <w:r>
        <w:rPr>
          <w:color w:val="000080"/>
          <w:sz w:val="20"/>
          <w:highlight w:val="white"/>
        </w:rPr>
        <w:t xml:space="preserve">  </w:t>
      </w:r>
    </w:p>
    <w:p>
      <w:pPr>
        <w:pStyle w:val="3"/>
        <w:wordWrap w:val="0"/>
        <w:bidi w:val="0"/>
        <w:spacing w:line="360" w:lineRule="auto"/>
        <w:rPr>
          <w:rFonts w:ascii="Times New Roman" w:hAnsi="Times New Roman"/>
        </w:rPr>
      </w:pPr>
      <w:bookmarkStart w:id="51" w:name="_Toc22001"/>
      <w:r>
        <w:rPr>
          <w:rFonts w:hint="eastAsia" w:ascii="Times New Roman" w:hAnsi="Times New Roman"/>
          <w:highlight w:val="white"/>
        </w:rPr>
        <w:t>8</w:t>
      </w:r>
      <w:r>
        <w:rPr>
          <w:rFonts w:ascii="Times New Roman" w:hAnsi="Times New Roman"/>
          <w:highlight w:val="white"/>
        </w:rPr>
        <w:t>合同授予</w:t>
      </w:r>
      <w:bookmarkEnd w:id="51"/>
    </w:p>
    <w:p>
      <w:pPr>
        <w:pStyle w:val="4"/>
        <w:wordWrap w:val="0"/>
        <w:bidi w:val="0"/>
      </w:pPr>
      <w:bookmarkStart w:id="52" w:name="_Toc1624"/>
      <w:r>
        <w:rPr>
          <w:rFonts w:hint="eastAsia"/>
          <w:highlight w:val="white"/>
        </w:rPr>
        <w:t>8</w:t>
      </w:r>
      <w:r>
        <w:rPr>
          <w:highlight w:val="white"/>
        </w:rPr>
        <w:t>.1 定标方式</w:t>
      </w:r>
      <w:bookmarkEnd w:id="52"/>
    </w:p>
    <w:p>
      <w:pPr>
        <w:wordWrap w:val="0"/>
        <w:bidi w:val="0"/>
        <w:spacing w:line="360" w:lineRule="auto"/>
        <w:ind w:firstLine="420" w:firstLineChars="200"/>
        <w:rPr>
          <w:szCs w:val="21"/>
        </w:rPr>
      </w:pPr>
      <w:r>
        <w:rPr>
          <w:szCs w:val="21"/>
          <w:highlight w:val="white"/>
        </w:rPr>
        <w:t>除“投标人须知前附表”规定评标委员会直接确定中标人外，招标人依据评标委员会推荐的中标候选人确定中标人，评标委员会推荐中标候选人的人数见“投标人须知前附表”。</w:t>
      </w:r>
    </w:p>
    <w:p>
      <w:pPr>
        <w:pStyle w:val="4"/>
        <w:wordWrap w:val="0"/>
        <w:bidi w:val="0"/>
      </w:pPr>
      <w:bookmarkStart w:id="53" w:name="_Toc21666"/>
      <w:r>
        <w:rPr>
          <w:rFonts w:hint="eastAsia"/>
          <w:highlight w:val="white"/>
        </w:rPr>
        <w:t>8</w:t>
      </w:r>
      <w:r>
        <w:rPr>
          <w:highlight w:val="white"/>
        </w:rPr>
        <w:t>.2 中标通知及中标结果公告</w:t>
      </w:r>
      <w:bookmarkEnd w:id="53"/>
    </w:p>
    <w:p>
      <w:pPr>
        <w:wordWrap w:val="0"/>
        <w:bidi w:val="0"/>
        <w:spacing w:line="360" w:lineRule="auto"/>
        <w:ind w:firstLine="420" w:firstLineChars="200"/>
        <w:rPr>
          <w:rFonts w:hint="eastAsia"/>
          <w:szCs w:val="21"/>
        </w:rPr>
      </w:pPr>
      <w:r>
        <w:rPr>
          <w:rFonts w:hint="eastAsia"/>
          <w:szCs w:val="21"/>
          <w:highlight w:val="white"/>
        </w:rPr>
        <w:t>在本须知第</w:t>
      </w:r>
      <w:r>
        <w:rPr>
          <w:szCs w:val="21"/>
          <w:highlight w:val="white"/>
        </w:rPr>
        <w:t>3.3</w:t>
      </w:r>
      <w:r>
        <w:rPr>
          <w:rFonts w:hint="eastAsia"/>
          <w:szCs w:val="21"/>
          <w:highlight w:val="white"/>
        </w:rPr>
        <w:t>款规定的投标有效期内，招标人以书面形式向中标人发出中标通知书，同时将中标结果通知未中标的投标人。</w:t>
      </w:r>
    </w:p>
    <w:p>
      <w:pPr>
        <w:pStyle w:val="4"/>
        <w:wordWrap w:val="0"/>
        <w:bidi w:val="0"/>
      </w:pPr>
      <w:bookmarkStart w:id="54" w:name="_Toc12538"/>
      <w:r>
        <w:rPr>
          <w:rFonts w:hint="eastAsia"/>
          <w:highlight w:val="white"/>
        </w:rPr>
        <w:t>8</w:t>
      </w:r>
      <w:r>
        <w:rPr>
          <w:highlight w:val="white"/>
        </w:rPr>
        <w:t>.3</w:t>
      </w:r>
      <w:r>
        <w:rPr>
          <w:rFonts w:hint="eastAsia"/>
          <w:highlight w:val="white"/>
        </w:rPr>
        <w:t>履约担保</w:t>
      </w:r>
      <w:bookmarkEnd w:id="54"/>
    </w:p>
    <w:p>
      <w:pPr>
        <w:wordWrap w:val="0"/>
        <w:bidi w:val="0"/>
        <w:spacing w:line="360" w:lineRule="auto"/>
        <w:ind w:firstLine="420" w:firstLineChars="200"/>
        <w:rPr>
          <w:rFonts w:hint="eastAsia"/>
          <w:szCs w:val="21"/>
        </w:rPr>
      </w:pPr>
      <w:r>
        <w:rPr>
          <w:rFonts w:hint="eastAsia"/>
          <w:szCs w:val="21"/>
          <w:highlight w:val="white"/>
        </w:rPr>
        <w:t>8.3.1 国有投资或国有投资占主导地位的工程建设项目，招标人必须在招标文件中要求中标人提交相应金额的履约担保，履约担保的形式详见投标人须知前附表规定。</w:t>
      </w:r>
    </w:p>
    <w:p>
      <w:pPr>
        <w:wordWrap w:val="0"/>
        <w:bidi w:val="0"/>
        <w:spacing w:line="360" w:lineRule="auto"/>
        <w:ind w:firstLine="420" w:firstLineChars="200"/>
        <w:rPr>
          <w:rFonts w:hint="eastAsia"/>
          <w:szCs w:val="21"/>
        </w:rPr>
      </w:pPr>
      <w:r>
        <w:rPr>
          <w:rFonts w:hint="eastAsia"/>
          <w:szCs w:val="21"/>
          <w:highlight w:val="white"/>
        </w:rPr>
        <w:t>8.3.2 中标人不按上述要求提交履约担保的，根据《招标投标法实施条例》第五十五条、七十四条等规定，招标人应依法确定排名第二的中标候选人为中标人，或重新招标，并予以公告。同时，可以将原第一中标候选人列入失信企业名单，其投标保证金将不予退还，并可以处中标项目金额10‰以下的罚款。</w:t>
      </w:r>
    </w:p>
    <w:p>
      <w:pPr>
        <w:wordWrap w:val="0"/>
        <w:bidi w:val="0"/>
        <w:spacing w:line="360" w:lineRule="auto"/>
        <w:ind w:firstLine="420" w:firstLineChars="200"/>
        <w:rPr>
          <w:rFonts w:hint="eastAsia"/>
          <w:szCs w:val="21"/>
        </w:rPr>
      </w:pPr>
      <w:r>
        <w:rPr>
          <w:rFonts w:hint="eastAsia"/>
          <w:szCs w:val="21"/>
          <w:highlight w:val="white"/>
        </w:rPr>
        <w:t>8.3.3采用经评审的最低投标价法的施工招标项目，中标人须向招标人提供差额履约担保，担保金额为招标控制价和中标价的差值，但不超过中标价的10％。</w:t>
      </w:r>
    </w:p>
    <w:p>
      <w:pPr>
        <w:pStyle w:val="4"/>
        <w:wordWrap w:val="0"/>
        <w:bidi w:val="0"/>
        <w:rPr>
          <w:rFonts w:hint="eastAsia"/>
        </w:rPr>
      </w:pPr>
      <w:bookmarkStart w:id="55" w:name="_Toc21819"/>
      <w:r>
        <w:rPr>
          <w:rFonts w:hint="eastAsia"/>
          <w:highlight w:val="white"/>
        </w:rPr>
        <w:t>8</w:t>
      </w:r>
      <w:r>
        <w:rPr>
          <w:highlight w:val="white"/>
        </w:rPr>
        <w:t>.</w:t>
      </w:r>
      <w:r>
        <w:rPr>
          <w:rFonts w:hint="eastAsia"/>
          <w:highlight w:val="white"/>
        </w:rPr>
        <w:t>4签订合同</w:t>
      </w:r>
      <w:bookmarkEnd w:id="55"/>
    </w:p>
    <w:p>
      <w:pPr>
        <w:bidi w:val="0"/>
        <w:spacing w:line="400" w:lineRule="exact"/>
        <w:ind w:firstLine="420" w:firstLineChars="200"/>
        <w:rPr>
          <w:szCs w:val="21"/>
        </w:rPr>
      </w:pPr>
      <w:r>
        <w:rPr>
          <w:rFonts w:hint="eastAsia"/>
          <w:szCs w:val="21"/>
          <w:highlight w:val="white"/>
        </w:rPr>
        <w:t>8.4.1 招标人和中标人应当在中标通知书约定时间内订立书面合同。合同的内容应与招标文件、中标的投标文件承诺相一致，应载明履约担保的方式、额度、违约处理措施等方面内容。审查合同的订立与备案时间是否符合规定，主要条款与招标文件、中标的投标文件是否一致。合同订立后，不得另行签订与招标文件、投标文件不一致的补充合同。因合同约定不明确，确需双方另行签订补充合同的，必须符合法律法规规定和招标文件的实质性内容。未履行合同备案手续的项目，在问题未查清前、有关责任人未追究到位之前，并在符合法律法规规定和合同约定前提下，建设单位财务机构暂缓支付项目资金；行业主管部门暂缓发放施工许可证或者暂缓办理工程竣工验收备案手续；审计机关暂缓予以审计结算；财政部门暂缓办理报账手续，暂停拨付项目建设资金。</w:t>
      </w:r>
    </w:p>
    <w:p>
      <w:pPr>
        <w:bidi w:val="0"/>
        <w:spacing w:line="400" w:lineRule="exact"/>
        <w:ind w:firstLine="420" w:firstLineChars="200"/>
        <w:rPr>
          <w:szCs w:val="21"/>
        </w:rPr>
      </w:pPr>
      <w:r>
        <w:rPr>
          <w:rFonts w:hint="eastAsia"/>
          <w:szCs w:val="21"/>
          <w:highlight w:val="white"/>
        </w:rPr>
        <w:t xml:space="preserve">8.4.2 发出中标通知书后，招标人无正当理由拒签合同的，招标人向中标人退还投标保证金；给中标人造成损失的，还应当赔偿损失。 </w:t>
      </w:r>
    </w:p>
    <w:p>
      <w:pPr>
        <w:bidi w:val="0"/>
        <w:rPr>
          <w:rFonts w:hint="eastAsia"/>
          <w:highlight w:val="cyan"/>
        </w:rPr>
      </w:pPr>
      <w:r>
        <w:rPr>
          <w:rFonts w:hint="eastAsia"/>
          <w:color w:val="000080"/>
          <w:sz w:val="20"/>
          <w:highlight w:val="white"/>
        </w:rPr>
        <w:t xml:space="preserve"> </w:t>
      </w:r>
    </w:p>
    <w:p>
      <w:pPr>
        <w:bidi w:val="0"/>
        <w:rPr>
          <w:highlight w:val="yellow"/>
        </w:rPr>
      </w:pPr>
      <w:r>
        <w:rPr>
          <w:rFonts w:hint="eastAsia"/>
          <w:color w:val="000080"/>
          <w:sz w:val="20"/>
          <w:highlight w:val="white"/>
        </w:rPr>
        <w:t xml:space="preserve">  </w:t>
      </w:r>
    </w:p>
    <w:p>
      <w:pPr>
        <w:pStyle w:val="3"/>
        <w:wordWrap w:val="0"/>
        <w:bidi w:val="0"/>
        <w:spacing w:line="360" w:lineRule="auto"/>
        <w:rPr>
          <w:rFonts w:ascii="Times New Roman" w:hAnsi="Times New Roman"/>
        </w:rPr>
      </w:pPr>
      <w:bookmarkStart w:id="56" w:name="_Toc20424"/>
      <w:r>
        <w:rPr>
          <w:rFonts w:ascii="Times New Roman" w:hAnsi="Times New Roman"/>
          <w:highlight w:val="white"/>
        </w:rPr>
        <w:t xml:space="preserve">9. </w:t>
      </w:r>
      <w:r>
        <w:rPr>
          <w:rFonts w:hint="eastAsia" w:ascii="Times New Roman" w:hAnsi="Times New Roman"/>
          <w:highlight w:val="white"/>
        </w:rPr>
        <w:t>重新招标和不再招标</w:t>
      </w:r>
      <w:bookmarkEnd w:id="56"/>
    </w:p>
    <w:p>
      <w:pPr>
        <w:pStyle w:val="4"/>
        <w:wordWrap w:val="0"/>
        <w:bidi w:val="0"/>
      </w:pPr>
      <w:bookmarkStart w:id="57" w:name="_Toc12451"/>
      <w:r>
        <w:rPr>
          <w:rFonts w:hint="eastAsia"/>
          <w:highlight w:val="white"/>
        </w:rPr>
        <w:t>9.1 重新招标</w:t>
      </w:r>
      <w:bookmarkEnd w:id="57"/>
    </w:p>
    <w:p>
      <w:pPr>
        <w:bidi w:val="0"/>
        <w:spacing w:line="400" w:lineRule="exact"/>
        <w:ind w:firstLine="420" w:firstLineChars="200"/>
        <w:rPr>
          <w:rFonts w:hint="eastAsia" w:ascii="宋体" w:hAnsi="宋体"/>
          <w:szCs w:val="21"/>
        </w:rPr>
      </w:pPr>
      <w:r>
        <w:rPr>
          <w:rFonts w:hint="eastAsia" w:ascii="宋体" w:hAnsi="宋体"/>
          <w:szCs w:val="21"/>
          <w:highlight w:val="white"/>
        </w:rPr>
        <w:t>有下列情形之一的，招标人将重新招标：</w:t>
      </w:r>
    </w:p>
    <w:p>
      <w:pPr>
        <w:bidi w:val="0"/>
        <w:spacing w:line="400" w:lineRule="exact"/>
        <w:ind w:firstLine="420" w:firstLineChars="200"/>
        <w:rPr>
          <w:rFonts w:hint="eastAsia" w:ascii="宋体" w:hAnsi="宋体"/>
          <w:szCs w:val="21"/>
        </w:rPr>
      </w:pPr>
      <w:r>
        <w:rPr>
          <w:rFonts w:hint="eastAsia" w:ascii="宋体" w:hAnsi="宋体"/>
          <w:szCs w:val="21"/>
          <w:highlight w:val="white"/>
        </w:rPr>
        <w:t>9.1.1 在投标截止时间届满时提交投标文件的投标人少于3个的；</w:t>
      </w:r>
    </w:p>
    <w:p>
      <w:pPr>
        <w:bidi w:val="0"/>
        <w:spacing w:line="400" w:lineRule="exact"/>
        <w:ind w:firstLine="420" w:firstLineChars="200"/>
        <w:rPr>
          <w:rFonts w:hint="eastAsia" w:ascii="宋体" w:hAnsi="宋体"/>
          <w:szCs w:val="21"/>
        </w:rPr>
      </w:pPr>
      <w:r>
        <w:rPr>
          <w:rFonts w:hint="eastAsia" w:ascii="宋体" w:hAnsi="宋体"/>
          <w:szCs w:val="21"/>
          <w:highlight w:val="white"/>
        </w:rPr>
        <w:t>9.1.2 所有投标均被作为无效标处理的；</w:t>
      </w:r>
    </w:p>
    <w:p>
      <w:pPr>
        <w:bidi w:val="0"/>
        <w:spacing w:line="400" w:lineRule="exact"/>
        <w:ind w:firstLine="420" w:firstLineChars="200"/>
        <w:rPr>
          <w:rFonts w:hint="eastAsia" w:ascii="宋体" w:hAnsi="宋体"/>
          <w:szCs w:val="21"/>
        </w:rPr>
      </w:pPr>
      <w:r>
        <w:rPr>
          <w:rFonts w:hint="eastAsia" w:ascii="宋体" w:hAnsi="宋体"/>
          <w:szCs w:val="21"/>
          <w:highlight w:val="white"/>
        </w:rPr>
        <w:t>9.1.3 经评审，有效投标不足三个使得投标明显缺乏竞争，评标委员会否决全部投标的。</w:t>
      </w:r>
    </w:p>
    <w:p>
      <w:pPr>
        <w:pStyle w:val="4"/>
        <w:wordWrap w:val="0"/>
        <w:bidi w:val="0"/>
        <w:rPr>
          <w:rFonts w:hint="eastAsia"/>
        </w:rPr>
      </w:pPr>
      <w:bookmarkStart w:id="58" w:name="_Toc18745"/>
      <w:r>
        <w:rPr>
          <w:rFonts w:hint="eastAsia"/>
          <w:highlight w:val="white"/>
        </w:rPr>
        <w:t>9.2 不再招标</w:t>
      </w:r>
      <w:bookmarkEnd w:id="58"/>
    </w:p>
    <w:p>
      <w:pPr>
        <w:bidi w:val="0"/>
        <w:spacing w:line="400" w:lineRule="exact"/>
        <w:ind w:firstLine="420" w:firstLineChars="200"/>
        <w:rPr>
          <w:rFonts w:ascii="宋体" w:hAnsi="宋体"/>
          <w:szCs w:val="21"/>
        </w:rPr>
      </w:pPr>
      <w:r>
        <w:rPr>
          <w:rFonts w:hint="eastAsia" w:ascii="宋体" w:hAnsi="宋体"/>
          <w:szCs w:val="21"/>
          <w:highlight w:val="white"/>
        </w:rPr>
        <w:t>依法必须进行招标的项目提交投标文件的投标人少于3个的，招标人在分析招标失败的原因并采取相应措施后，应当依法重新招标。重新招标后，投标人仍少于3个的，由招标人提出申请，经招标投标管理部门审核，可采用竞争性谈判或直接发包方式确定承包人。</w:t>
      </w:r>
    </w:p>
    <w:p>
      <w:pPr>
        <w:bidi w:val="0"/>
        <w:rPr>
          <w:highlight w:val="cyan"/>
        </w:rPr>
      </w:pPr>
      <w:r>
        <w:rPr>
          <w:rFonts w:hint="eastAsia"/>
          <w:color w:val="000080"/>
          <w:sz w:val="20"/>
          <w:highlight w:val="white"/>
        </w:rPr>
        <w:t xml:space="preserve"> </w:t>
      </w:r>
    </w:p>
    <w:p>
      <w:pPr>
        <w:bidi w:val="0"/>
        <w:rPr>
          <w:rFonts w:hint="eastAsia"/>
          <w:highlight w:val="yellow"/>
        </w:rPr>
      </w:pPr>
      <w:r>
        <w:rPr>
          <w:rFonts w:hint="eastAsia"/>
          <w:color w:val="000080"/>
          <w:sz w:val="20"/>
          <w:highlight w:val="white"/>
        </w:rPr>
        <w:t xml:space="preserve">  </w:t>
      </w:r>
    </w:p>
    <w:p>
      <w:pPr>
        <w:pStyle w:val="3"/>
        <w:wordWrap w:val="0"/>
        <w:bidi w:val="0"/>
        <w:spacing w:line="360" w:lineRule="auto"/>
        <w:rPr>
          <w:rFonts w:ascii="Times New Roman" w:hAnsi="Times New Roman"/>
        </w:rPr>
      </w:pPr>
      <w:bookmarkStart w:id="59" w:name="_Toc2039"/>
      <w:r>
        <w:rPr>
          <w:rFonts w:ascii="Times New Roman" w:hAnsi="Times New Roman"/>
          <w:highlight w:val="white"/>
        </w:rPr>
        <w:t xml:space="preserve">10. </w:t>
      </w:r>
      <w:r>
        <w:rPr>
          <w:rFonts w:hint="eastAsia" w:ascii="Times New Roman" w:hAnsi="Times New Roman"/>
          <w:highlight w:val="white"/>
        </w:rPr>
        <w:t>标后监管</w:t>
      </w:r>
      <w:bookmarkEnd w:id="59"/>
    </w:p>
    <w:p>
      <w:pPr>
        <w:pStyle w:val="4"/>
        <w:wordWrap w:val="0"/>
        <w:bidi w:val="0"/>
      </w:pPr>
      <w:bookmarkStart w:id="60" w:name="_Toc17520"/>
      <w:r>
        <w:rPr>
          <w:rFonts w:hint="eastAsia"/>
          <w:highlight w:val="white"/>
        </w:rPr>
        <w:t>10.1中标结果进工地</w:t>
      </w:r>
      <w:bookmarkEnd w:id="60"/>
    </w:p>
    <w:p>
      <w:pPr>
        <w:bidi w:val="0"/>
        <w:spacing w:line="400" w:lineRule="exact"/>
        <w:ind w:firstLine="420" w:firstLineChars="200"/>
        <w:rPr>
          <w:rFonts w:hint="eastAsia" w:ascii="宋体" w:hAnsi="宋体"/>
          <w:szCs w:val="21"/>
        </w:rPr>
      </w:pPr>
      <w:r>
        <w:rPr>
          <w:rFonts w:hint="eastAsia" w:ascii="宋体" w:hAnsi="宋体"/>
          <w:szCs w:val="21"/>
          <w:highlight w:val="white"/>
        </w:rPr>
        <w:t>中标人应当按照投标承诺和备案合同派驻现场技术、经济管理人员，并在施工现场显要位置予以公示，接受社会监督。中标人未按规定公示中标结果的，招标人按施工合同约定的标准扣除履约保证金，并记入履约考核档案。</w:t>
      </w:r>
    </w:p>
    <w:p>
      <w:pPr>
        <w:pStyle w:val="4"/>
        <w:wordWrap w:val="0"/>
        <w:bidi w:val="0"/>
      </w:pPr>
      <w:bookmarkStart w:id="61" w:name="_Toc11865"/>
      <w:r>
        <w:rPr>
          <w:rFonts w:hint="eastAsia"/>
          <w:highlight w:val="white"/>
        </w:rPr>
        <w:t>10.2强化现场管理</w:t>
      </w:r>
      <w:bookmarkEnd w:id="61"/>
    </w:p>
    <w:p>
      <w:pPr>
        <w:bidi w:val="0"/>
        <w:spacing w:line="360" w:lineRule="exact"/>
        <w:ind w:firstLine="420" w:firstLineChars="200"/>
        <w:rPr>
          <w:rFonts w:hint="eastAsia" w:ascii="宋体" w:hAnsi="宋体"/>
          <w:szCs w:val="21"/>
        </w:rPr>
      </w:pPr>
      <w:r>
        <w:rPr>
          <w:rFonts w:ascii="宋体" w:hAnsi="宋体"/>
          <w:szCs w:val="21"/>
          <w:highlight w:val="white"/>
        </w:rPr>
        <w:t>10.2.1</w:t>
      </w:r>
      <w:r>
        <w:rPr>
          <w:rFonts w:hint="eastAsia" w:ascii="宋体" w:hAnsi="宋体"/>
          <w:szCs w:val="21"/>
          <w:highlight w:val="white"/>
        </w:rPr>
        <w:t xml:space="preserve"> 国有投资或国有投资占主导地位的工程建设项目，实行中标项目负责人以及现场主要技术、经济管理人员在岗在位指纹考核制度，具体由招标人组织实施，行业主管部门负责督查落实。</w:t>
      </w:r>
    </w:p>
    <w:p>
      <w:pPr>
        <w:bidi w:val="0"/>
        <w:spacing w:line="360" w:lineRule="exact"/>
        <w:ind w:firstLine="420" w:firstLineChars="200"/>
        <w:rPr>
          <w:rFonts w:ascii="宋体" w:hAnsi="宋体"/>
          <w:szCs w:val="21"/>
        </w:rPr>
      </w:pPr>
      <w:r>
        <w:rPr>
          <w:rFonts w:ascii="宋体" w:hAnsi="宋体"/>
          <w:szCs w:val="21"/>
          <w:highlight w:val="white"/>
        </w:rPr>
        <w:t>10.2.2</w:t>
      </w:r>
      <w:r>
        <w:rPr>
          <w:rFonts w:hint="eastAsia" w:ascii="宋体" w:hAnsi="宋体"/>
          <w:szCs w:val="21"/>
          <w:highlight w:val="white"/>
        </w:rPr>
        <w:t xml:space="preserve"> 施工单位派驻现场的项目建造师、技术负责人等主要管理人员须与投标承诺的人员相一致，不得擅自变更。因刑事犯罪、被限制人身自由、死亡、伤病丧失履约能力、辞职等特殊原因确需更换的，施工单位应提供相关证明，经招标人同意后，报公共资源交易管理部门审批后方可变更。所变更人员的资格、业绩和信誉不得低于投标承诺。</w:t>
      </w:r>
    </w:p>
    <w:p>
      <w:pPr>
        <w:bidi w:val="0"/>
        <w:spacing w:line="360" w:lineRule="exact"/>
        <w:ind w:firstLine="420" w:firstLineChars="200"/>
        <w:rPr>
          <w:rFonts w:ascii="宋体" w:hAnsi="宋体"/>
          <w:szCs w:val="21"/>
        </w:rPr>
      </w:pPr>
      <w:r>
        <w:rPr>
          <w:rFonts w:hint="eastAsia" w:ascii="宋体" w:hAnsi="宋体"/>
          <w:szCs w:val="21"/>
          <w:highlight w:val="white"/>
        </w:rPr>
        <w:t>主要管理人员变更经公共资源交易管理部门审批后，人员变更基本情况及变更原因应在公共资源交易电子服务</w:t>
      </w:r>
      <w:r>
        <w:rPr>
          <w:rFonts w:ascii="宋体" w:hAnsi="宋体"/>
          <w:szCs w:val="21"/>
          <w:highlight w:val="white"/>
        </w:rPr>
        <w:t>平台</w:t>
      </w:r>
      <w:r>
        <w:rPr>
          <w:rFonts w:hint="eastAsia" w:ascii="宋体" w:hAnsi="宋体"/>
          <w:szCs w:val="21"/>
          <w:highlight w:val="white"/>
        </w:rPr>
        <w:t>上向社会公示。</w:t>
      </w:r>
    </w:p>
    <w:p>
      <w:pPr>
        <w:bidi w:val="0"/>
        <w:spacing w:line="360" w:lineRule="exact"/>
        <w:ind w:firstLine="420" w:firstLineChars="200"/>
        <w:rPr>
          <w:rFonts w:hint="eastAsia" w:ascii="宋体" w:hAnsi="宋体"/>
          <w:szCs w:val="21"/>
        </w:rPr>
      </w:pPr>
      <w:r>
        <w:rPr>
          <w:rFonts w:ascii="宋体" w:hAnsi="宋体"/>
          <w:szCs w:val="21"/>
          <w:highlight w:val="white"/>
        </w:rPr>
        <w:t>10.2.3</w:t>
      </w:r>
      <w:r>
        <w:rPr>
          <w:rFonts w:hint="eastAsia" w:ascii="宋体" w:hAnsi="宋体"/>
          <w:szCs w:val="21"/>
          <w:highlight w:val="white"/>
        </w:rPr>
        <w:t xml:space="preserve"> 招标人发现中标人将工程转包或违法分包的，有权中止合同，并向行业主管部门报告。对于招标人或中标人将工程转包或违法分包的，行业主管部门应依法查处。</w:t>
      </w:r>
    </w:p>
    <w:p>
      <w:pPr>
        <w:bidi w:val="0"/>
        <w:spacing w:line="360" w:lineRule="exact"/>
        <w:ind w:firstLine="420" w:firstLineChars="200"/>
        <w:rPr>
          <w:rFonts w:ascii="宋体" w:hAnsi="宋体"/>
          <w:szCs w:val="21"/>
        </w:rPr>
      </w:pPr>
      <w:r>
        <w:rPr>
          <w:rFonts w:hint="eastAsia" w:ascii="宋体" w:hAnsi="宋体"/>
          <w:szCs w:val="21"/>
          <w:highlight w:val="white"/>
        </w:rPr>
        <w:t>10.2.4 严格执行《市政府办公室关于印发宿迁市政府投资建设项目标后履约监督管理暂行办法的通知》（宿政办发〔2015〕123号）文件、中共宿迁市委 宿迁市人民政府关于进一步加强公共资源招标投标监督管理工作的意见(宿发〔2016〕7号)及其他相关规定。</w:t>
      </w:r>
    </w:p>
    <w:p>
      <w:pPr>
        <w:bidi w:val="0"/>
        <w:rPr>
          <w:highlight w:val="cyan"/>
        </w:rPr>
      </w:pPr>
      <w:r>
        <w:rPr>
          <w:rFonts w:hint="eastAsia"/>
          <w:color w:val="000080"/>
          <w:sz w:val="20"/>
          <w:highlight w:val="white"/>
        </w:rPr>
        <w:t xml:space="preserve"> </w:t>
      </w:r>
    </w:p>
    <w:p>
      <w:pPr>
        <w:bidi w:val="0"/>
        <w:rPr>
          <w:rFonts w:hint="eastAsia"/>
          <w:highlight w:val="yellow"/>
        </w:rPr>
      </w:pPr>
      <w:r>
        <w:rPr>
          <w:rFonts w:hint="eastAsia"/>
          <w:color w:val="000080"/>
          <w:sz w:val="20"/>
          <w:highlight w:val="white"/>
        </w:rPr>
        <w:t xml:space="preserve">  </w:t>
      </w:r>
    </w:p>
    <w:p>
      <w:pPr>
        <w:pStyle w:val="3"/>
        <w:wordWrap w:val="0"/>
        <w:bidi w:val="0"/>
        <w:spacing w:line="360" w:lineRule="auto"/>
        <w:rPr>
          <w:rFonts w:ascii="Times New Roman" w:hAnsi="Times New Roman"/>
        </w:rPr>
      </w:pPr>
      <w:bookmarkStart w:id="62" w:name="_Toc13904"/>
      <w:r>
        <w:rPr>
          <w:rFonts w:ascii="Times New Roman" w:hAnsi="Times New Roman"/>
          <w:highlight w:val="white"/>
        </w:rPr>
        <w:t>11.</w:t>
      </w:r>
      <w:r>
        <w:rPr>
          <w:rFonts w:hint="eastAsia" w:ascii="Times New Roman" w:hAnsi="Times New Roman"/>
          <w:highlight w:val="white"/>
        </w:rPr>
        <w:t xml:space="preserve"> 纪律和监督</w:t>
      </w:r>
      <w:bookmarkEnd w:id="62"/>
    </w:p>
    <w:p>
      <w:pPr>
        <w:pStyle w:val="4"/>
        <w:wordWrap w:val="0"/>
        <w:bidi w:val="0"/>
      </w:pPr>
      <w:bookmarkStart w:id="63" w:name="_Toc8776"/>
      <w:r>
        <w:rPr>
          <w:rFonts w:hint="eastAsia"/>
          <w:highlight w:val="white"/>
        </w:rPr>
        <w:t>11.1 对招标人的纪律要求</w:t>
      </w:r>
      <w:bookmarkEnd w:id="63"/>
    </w:p>
    <w:p>
      <w:pPr>
        <w:bidi w:val="0"/>
        <w:spacing w:line="360" w:lineRule="exact"/>
        <w:ind w:firstLine="420" w:firstLineChars="200"/>
        <w:rPr>
          <w:rFonts w:hint="eastAsia" w:hAnsi="宋体"/>
          <w:szCs w:val="21"/>
        </w:rPr>
      </w:pPr>
      <w:r>
        <w:rPr>
          <w:rFonts w:hint="eastAsia" w:hAnsi="宋体"/>
          <w:szCs w:val="21"/>
          <w:highlight w:val="white"/>
        </w:rPr>
        <w:t>11.1.1招标人不得泄露招标投标活动中应当保密的情况和资料，不得与投标人串通损害国家利益、社会公众利益或者他人合法权益。</w:t>
      </w:r>
    </w:p>
    <w:p>
      <w:pPr>
        <w:bidi w:val="0"/>
        <w:spacing w:line="360" w:lineRule="exact"/>
        <w:ind w:firstLine="420" w:firstLineChars="200"/>
        <w:rPr>
          <w:rFonts w:hint="eastAsia" w:hAnsi="宋体"/>
          <w:szCs w:val="21"/>
        </w:rPr>
      </w:pPr>
      <w:r>
        <w:rPr>
          <w:rFonts w:hint="eastAsia" w:hAnsi="宋体"/>
          <w:szCs w:val="21"/>
          <w:highlight w:val="white"/>
        </w:rPr>
        <w:t>11.1.2招标人应合理设置投标人资格条件、评分办法业绩、奖项等相关内容，，并自行承担由此产生的招标失败、异议投诉等责任和风险。</w:t>
      </w:r>
    </w:p>
    <w:p>
      <w:pPr>
        <w:bidi w:val="0"/>
        <w:spacing w:line="360" w:lineRule="exact"/>
        <w:ind w:firstLine="420" w:firstLineChars="200"/>
        <w:rPr>
          <w:rFonts w:hint="eastAsia" w:hAnsi="宋体"/>
          <w:szCs w:val="21"/>
        </w:rPr>
      </w:pPr>
      <w:r>
        <w:rPr>
          <w:rFonts w:hint="eastAsia" w:hAnsi="宋体"/>
          <w:szCs w:val="21"/>
          <w:highlight w:val="white"/>
        </w:rPr>
        <w:t>11.1.3招标文件编制。不得设定与招标项目具体特点和实际需求不相适应的资格、技术、商务条件或提高资质等级，不得以特定行政区域或者特定行业的业绩、奖项作为加分或者资格审查条件，不得设定其他限制性、排他性或明显倾向性条款。招标人负责对招标文件内容和约定条款进行解释，并承担法律责任。</w:t>
      </w:r>
    </w:p>
    <w:p>
      <w:pPr>
        <w:bidi w:val="0"/>
        <w:spacing w:line="360" w:lineRule="exact"/>
        <w:ind w:firstLine="420" w:firstLineChars="200"/>
        <w:rPr>
          <w:rFonts w:hint="eastAsia" w:hAnsi="宋体"/>
          <w:szCs w:val="21"/>
        </w:rPr>
      </w:pPr>
      <w:r>
        <w:rPr>
          <w:rFonts w:hint="eastAsia" w:hAnsi="宋体"/>
          <w:szCs w:val="21"/>
          <w:highlight w:val="white"/>
        </w:rPr>
        <w:t>11.1.4委派业主评委。国有资金项目的招标人一般只能委派1名代表参与评标，且必须取得工程类相关中级及以上职称或者具有工程建设类执业资格。招标代理机构的人员不得担任其所代理招标的工程项目的评标委员会成员。</w:t>
      </w:r>
    </w:p>
    <w:p>
      <w:pPr>
        <w:bidi w:val="0"/>
        <w:spacing w:line="360" w:lineRule="exact"/>
        <w:ind w:firstLine="420" w:firstLineChars="200"/>
        <w:rPr>
          <w:rFonts w:hint="eastAsia" w:hAnsi="宋体"/>
          <w:szCs w:val="21"/>
        </w:rPr>
      </w:pPr>
      <w:r>
        <w:rPr>
          <w:rFonts w:hint="eastAsia" w:hAnsi="宋体"/>
          <w:szCs w:val="21"/>
          <w:highlight w:val="white"/>
        </w:rPr>
        <w:t>11.1.5开标评标组织。招标人负责组织开标、评标工作，并可以就项目的概况及招标需求向评标委员会进行阐述。招标人应委派代表参与开标，并进入评标直播室对评标过程进行全程见证。</w:t>
      </w:r>
    </w:p>
    <w:p>
      <w:pPr>
        <w:bidi w:val="0"/>
        <w:spacing w:line="360" w:lineRule="exact"/>
        <w:ind w:firstLine="420" w:firstLineChars="200"/>
        <w:rPr>
          <w:rFonts w:hint="eastAsia" w:hAnsi="宋体"/>
          <w:szCs w:val="21"/>
        </w:rPr>
      </w:pPr>
      <w:r>
        <w:rPr>
          <w:rFonts w:hint="eastAsia" w:hAnsi="宋体"/>
          <w:szCs w:val="21"/>
          <w:highlight w:val="white"/>
        </w:rPr>
        <w:t>11.1.6中标公示。招标人应对评标委员会提交的评标报告进行审查，并应当自收到评标报告之日起1个工作日（最长不超过3日）内公示中标候选人，公示期不得少于3日。</w:t>
      </w:r>
    </w:p>
    <w:p>
      <w:pPr>
        <w:bidi w:val="0"/>
        <w:spacing w:line="360" w:lineRule="exact"/>
        <w:ind w:firstLine="420" w:firstLineChars="200"/>
        <w:rPr>
          <w:rFonts w:hint="eastAsia" w:hAnsi="宋体"/>
          <w:szCs w:val="21"/>
        </w:rPr>
      </w:pPr>
      <w:r>
        <w:rPr>
          <w:rFonts w:hint="eastAsia" w:hAnsi="宋体"/>
          <w:szCs w:val="21"/>
          <w:highlight w:val="white"/>
        </w:rPr>
        <w:t>11.1.7异议受理。投标人或其他利害关系人提出异议的，招标人负责对异议事项、内容等进行审查和进行必要的调查取证，并3日内给予答复，作出答复前，应暂停招投标活动。招标人未在规定时间内进行答复，或答复内容存在明显错误的，由监管部门责令改正。</w:t>
      </w:r>
    </w:p>
    <w:p>
      <w:pPr>
        <w:bidi w:val="0"/>
        <w:spacing w:line="360" w:lineRule="exact"/>
        <w:ind w:firstLine="420" w:firstLineChars="200"/>
        <w:rPr>
          <w:rFonts w:hint="eastAsia" w:hAnsi="宋体"/>
          <w:szCs w:val="21"/>
        </w:rPr>
      </w:pPr>
      <w:r>
        <w:rPr>
          <w:rFonts w:hint="eastAsia" w:hAnsi="宋体"/>
          <w:szCs w:val="21"/>
          <w:highlight w:val="white"/>
        </w:rPr>
        <w:t xml:space="preserve">11.1.8履约审查。招标人可以对中标候选人的履约能力进行审查，如中标候选人的经营、财务状况发生较大变化或者存在违法行为，招标人认为可能影响其履约能力的，应当在发出中标通知书前提出书面申请，由原评标委员会审查确认。 </w:t>
      </w:r>
    </w:p>
    <w:p>
      <w:pPr>
        <w:bidi w:val="0"/>
        <w:spacing w:line="360" w:lineRule="exact"/>
        <w:ind w:firstLine="420" w:firstLineChars="200"/>
        <w:rPr>
          <w:rFonts w:hint="eastAsia" w:hAnsi="宋体"/>
          <w:szCs w:val="21"/>
        </w:rPr>
      </w:pPr>
      <w:r>
        <w:rPr>
          <w:rFonts w:hint="eastAsia" w:hAnsi="宋体"/>
          <w:szCs w:val="21"/>
          <w:highlight w:val="white"/>
        </w:rPr>
        <w:t>11.1.9中标通知书签发。中标人确定后，招标人应及时发出中标通知书并同时发布中标结果公告。原则上，中标候选人公示无异议的，应于公示结束之日起1个工作日内发布中标结果公告。</w:t>
      </w:r>
    </w:p>
    <w:p>
      <w:pPr>
        <w:bidi w:val="0"/>
        <w:spacing w:line="360" w:lineRule="exact"/>
        <w:ind w:firstLine="420" w:firstLineChars="200"/>
        <w:rPr>
          <w:rFonts w:hint="eastAsia" w:hAnsi="宋体"/>
          <w:szCs w:val="21"/>
        </w:rPr>
      </w:pPr>
      <w:r>
        <w:rPr>
          <w:rFonts w:hint="eastAsia" w:hAnsi="宋体"/>
          <w:szCs w:val="21"/>
          <w:highlight w:val="white"/>
        </w:rPr>
        <w:t>11.1.10合同签订及备案。招标人应当在中标通知书发出之日起30日内，与中标人订立书面合同，合同主要条款应当与招标文件和中标人的投标文件的内容一致。订立书面合同后7日内应当将合同提交招标采购服务中心备案。中标人未在招标文件约定时限内缴纳履约保证金的，招标人可以取消其中标资格。</w:t>
      </w:r>
    </w:p>
    <w:p>
      <w:pPr>
        <w:bidi w:val="0"/>
        <w:spacing w:line="360" w:lineRule="exact"/>
        <w:ind w:firstLine="420" w:firstLineChars="200"/>
        <w:rPr>
          <w:rFonts w:hint="eastAsia" w:hAnsi="宋体"/>
          <w:szCs w:val="21"/>
        </w:rPr>
      </w:pPr>
      <w:r>
        <w:rPr>
          <w:rFonts w:hint="eastAsia" w:hAnsi="宋体"/>
          <w:szCs w:val="21"/>
          <w:highlight w:val="white"/>
        </w:rPr>
        <w:t>11.1.11合同履约管理。招标人应加强对承包人合同履约行为的监督管理，严格落实《市政府关于对工程项目建设领域突出问题实施合同管理的意见》（宿政发[2017]56号）文件规定，将串通投标、转包、违法分包、拖欠农民工工资、环境污染等内容纳入招标文件的合同条款中。</w:t>
      </w:r>
    </w:p>
    <w:p>
      <w:pPr>
        <w:pStyle w:val="4"/>
        <w:keepNext w:val="0"/>
        <w:keepLines w:val="0"/>
        <w:bidi w:val="0"/>
        <w:spacing w:before="120" w:after="240" w:line="360" w:lineRule="exact"/>
        <w:rPr>
          <w:rFonts w:ascii="黑体"/>
          <w:b w:val="0"/>
          <w:sz w:val="24"/>
          <w:szCs w:val="24"/>
        </w:rPr>
      </w:pPr>
      <w:bookmarkStart w:id="64" w:name="_Toc5108"/>
      <w:r>
        <w:rPr>
          <w:rFonts w:hint="eastAsia" w:ascii="黑体"/>
          <w:b w:val="0"/>
          <w:sz w:val="24"/>
          <w:szCs w:val="24"/>
          <w:highlight w:val="white"/>
        </w:rPr>
        <w:t>11.2 对投标人的纪律要求</w:t>
      </w:r>
      <w:bookmarkEnd w:id="64"/>
    </w:p>
    <w:p>
      <w:pPr>
        <w:bidi w:val="0"/>
        <w:spacing w:line="360" w:lineRule="exact"/>
        <w:ind w:firstLine="420" w:firstLineChars="200"/>
        <w:rPr>
          <w:rFonts w:hint="eastAsia" w:ascii="宋体" w:hAnsi="宋体"/>
          <w:szCs w:val="21"/>
        </w:rPr>
      </w:pPr>
      <w:r>
        <w:rPr>
          <w:rFonts w:ascii="宋体" w:hAnsi="宋体"/>
          <w:szCs w:val="21"/>
          <w:highlight w:val="white"/>
        </w:rPr>
        <w:t>11.2.1</w:t>
      </w:r>
      <w:r>
        <w:rPr>
          <w:rFonts w:hint="eastAsia" w:ascii="宋体" w:hAnsi="宋体"/>
          <w:szCs w:val="21"/>
          <w:highlight w:val="white"/>
        </w:rPr>
        <w:t>投标人不得存在下列行为：</w:t>
      </w:r>
    </w:p>
    <w:p>
      <w:pPr>
        <w:bidi w:val="0"/>
        <w:spacing w:line="360" w:lineRule="exact"/>
        <w:ind w:firstLine="420" w:firstLineChars="200"/>
        <w:rPr>
          <w:rFonts w:ascii="宋体" w:hAnsi="宋体"/>
          <w:szCs w:val="21"/>
        </w:rPr>
      </w:pPr>
      <w:r>
        <w:rPr>
          <w:rFonts w:ascii="宋体" w:hAnsi="宋体"/>
          <w:szCs w:val="21"/>
          <w:highlight w:val="white"/>
        </w:rPr>
        <w:t>11.2.1.1</w:t>
      </w:r>
      <w:r>
        <w:rPr>
          <w:rFonts w:hint="eastAsia" w:ascii="宋体" w:hAnsi="宋体"/>
          <w:szCs w:val="21"/>
          <w:highlight w:val="white"/>
        </w:rPr>
        <w:t>投标人不得相互串通投标或者与招标人串通投标，不得向招标人或者评标委员会成员行贿谋取中标，不得以他人名义投标或者以其他方式弄虚作假骗取中标；投标人不得以任何方式干扰、影响评标工作。</w:t>
      </w:r>
    </w:p>
    <w:p>
      <w:pPr>
        <w:bidi w:val="0"/>
        <w:spacing w:line="360" w:lineRule="exact"/>
        <w:ind w:firstLine="420" w:firstLineChars="200"/>
        <w:rPr>
          <w:rFonts w:ascii="宋体" w:hAnsi="宋体"/>
          <w:szCs w:val="21"/>
        </w:rPr>
      </w:pPr>
      <w:r>
        <w:rPr>
          <w:rFonts w:ascii="宋体" w:hAnsi="宋体"/>
          <w:szCs w:val="21"/>
          <w:highlight w:val="white"/>
        </w:rPr>
        <w:t>11.2.1.2</w:t>
      </w:r>
      <w:r>
        <w:rPr>
          <w:rFonts w:hint="eastAsia" w:ascii="宋体" w:hAnsi="宋体"/>
          <w:szCs w:val="21"/>
          <w:highlight w:val="white"/>
        </w:rPr>
        <w:t>中标通知书发出后，除不可抗力情况外，中标人出现下列情形之一的，招标人有权取消其中标资格，并没收其投标保证金，情节严重的将记入不良行为记录。其它政府投资项目的招标人可以据此不接受其投标：</w:t>
      </w:r>
    </w:p>
    <w:p>
      <w:pPr>
        <w:bidi w:val="0"/>
        <w:spacing w:line="360" w:lineRule="exact"/>
        <w:ind w:firstLine="420" w:firstLineChars="200"/>
        <w:rPr>
          <w:rFonts w:hint="eastAsia" w:ascii="宋体" w:hAnsi="宋体"/>
          <w:szCs w:val="21"/>
        </w:rPr>
      </w:pPr>
      <w:r>
        <w:rPr>
          <w:rFonts w:hint="eastAsia" w:ascii="宋体" w:hAnsi="宋体"/>
          <w:szCs w:val="21"/>
          <w:highlight w:val="white"/>
        </w:rPr>
        <w:t>（</w:t>
      </w:r>
      <w:r>
        <w:rPr>
          <w:rFonts w:ascii="宋体" w:hAnsi="宋体"/>
          <w:szCs w:val="21"/>
          <w:highlight w:val="white"/>
        </w:rPr>
        <w:t>1</w:t>
      </w:r>
      <w:r>
        <w:rPr>
          <w:rFonts w:hint="eastAsia" w:ascii="宋体" w:hAnsi="宋体"/>
          <w:szCs w:val="21"/>
          <w:highlight w:val="white"/>
        </w:rPr>
        <w:t>）放弃中标项目的；</w:t>
      </w:r>
    </w:p>
    <w:p>
      <w:pPr>
        <w:bidi w:val="0"/>
        <w:spacing w:line="400" w:lineRule="exact"/>
        <w:ind w:firstLine="420" w:firstLineChars="200"/>
        <w:rPr>
          <w:rFonts w:ascii="宋体" w:hAnsi="宋体"/>
          <w:szCs w:val="21"/>
        </w:rPr>
      </w:pPr>
      <w:r>
        <w:rPr>
          <w:rFonts w:hint="eastAsia" w:ascii="宋体" w:hAnsi="宋体"/>
          <w:szCs w:val="21"/>
          <w:highlight w:val="white"/>
        </w:rPr>
        <w:t>（</w:t>
      </w:r>
      <w:r>
        <w:rPr>
          <w:rFonts w:ascii="宋体" w:hAnsi="宋体"/>
          <w:szCs w:val="21"/>
          <w:highlight w:val="white"/>
        </w:rPr>
        <w:t>2</w:t>
      </w:r>
      <w:r>
        <w:rPr>
          <w:rFonts w:hint="eastAsia" w:ascii="宋体" w:hAnsi="宋体"/>
          <w:szCs w:val="21"/>
          <w:highlight w:val="white"/>
        </w:rPr>
        <w:t>）拒不按照招标文件的要求提交履约保证金的；</w:t>
      </w:r>
    </w:p>
    <w:p>
      <w:pPr>
        <w:bidi w:val="0"/>
        <w:spacing w:line="360" w:lineRule="exact"/>
        <w:ind w:firstLine="420" w:firstLineChars="200"/>
        <w:rPr>
          <w:rFonts w:ascii="宋体" w:hAnsi="宋体"/>
          <w:szCs w:val="21"/>
        </w:rPr>
      </w:pPr>
      <w:r>
        <w:rPr>
          <w:rFonts w:hint="eastAsia" w:ascii="宋体" w:hAnsi="宋体"/>
          <w:szCs w:val="21"/>
          <w:highlight w:val="white"/>
        </w:rPr>
        <w:t>（3）不与招标人签订合同的，或者在签订合同时向招标人提出附加条件或者更改合同实质性内容要求的。</w:t>
      </w:r>
    </w:p>
    <w:p>
      <w:pPr>
        <w:pStyle w:val="4"/>
        <w:keepNext w:val="0"/>
        <w:keepLines w:val="0"/>
        <w:bidi w:val="0"/>
        <w:spacing w:before="120" w:after="240" w:line="360" w:lineRule="exact"/>
        <w:rPr>
          <w:rFonts w:ascii="黑体"/>
          <w:b w:val="0"/>
          <w:sz w:val="24"/>
          <w:szCs w:val="24"/>
        </w:rPr>
      </w:pPr>
      <w:bookmarkStart w:id="65" w:name="_Toc6820"/>
      <w:r>
        <w:rPr>
          <w:rFonts w:hint="eastAsia" w:ascii="黑体"/>
          <w:b w:val="0"/>
          <w:sz w:val="24"/>
          <w:szCs w:val="24"/>
          <w:highlight w:val="white"/>
        </w:rPr>
        <w:t>11.3 对评标委员会成员的纪律要求</w:t>
      </w:r>
      <w:bookmarkEnd w:id="65"/>
    </w:p>
    <w:p>
      <w:pPr>
        <w:bidi w:val="0"/>
        <w:spacing w:line="360" w:lineRule="exact"/>
        <w:ind w:firstLine="420" w:firstLineChars="200"/>
        <w:rPr>
          <w:rFonts w:hint="eastAsia" w:ascii="宋体" w:hAnsi="宋体"/>
          <w:szCs w:val="21"/>
        </w:rPr>
      </w:pPr>
      <w:r>
        <w:rPr>
          <w:rFonts w:hint="eastAsia" w:ascii="宋体" w:hAnsi="宋体"/>
          <w:szCs w:val="21"/>
          <w:highlight w:val="white"/>
        </w:rPr>
        <w:t>评标委员会成员不得存在应当回避而不回避的行为，不得弄虚作假，不得参与串通招投标或者违反评标纪律。</w:t>
      </w:r>
    </w:p>
    <w:p>
      <w:pPr>
        <w:pStyle w:val="4"/>
        <w:keepNext w:val="0"/>
        <w:keepLines w:val="0"/>
        <w:bidi w:val="0"/>
        <w:spacing w:before="120" w:after="240" w:line="360" w:lineRule="exact"/>
        <w:rPr>
          <w:rFonts w:ascii="黑体"/>
          <w:b w:val="0"/>
          <w:sz w:val="24"/>
          <w:szCs w:val="24"/>
        </w:rPr>
      </w:pPr>
      <w:bookmarkStart w:id="66" w:name="_Toc15915"/>
      <w:r>
        <w:rPr>
          <w:rFonts w:hint="eastAsia" w:ascii="黑体"/>
          <w:b w:val="0"/>
          <w:sz w:val="24"/>
          <w:szCs w:val="24"/>
          <w:highlight w:val="white"/>
        </w:rPr>
        <w:t>11.4 对监管人员的纪律要求</w:t>
      </w:r>
      <w:bookmarkEnd w:id="66"/>
    </w:p>
    <w:p>
      <w:pPr>
        <w:bidi w:val="0"/>
        <w:spacing w:line="360" w:lineRule="exact"/>
        <w:ind w:firstLine="420" w:firstLineChars="200"/>
        <w:rPr>
          <w:rFonts w:hint="eastAsia" w:ascii="宋体" w:hAnsi="宋体"/>
          <w:szCs w:val="21"/>
        </w:rPr>
      </w:pPr>
      <w:r>
        <w:rPr>
          <w:rFonts w:hint="eastAsia" w:ascii="宋体" w:hAnsi="宋体"/>
          <w:szCs w:val="21"/>
          <w:highlight w:val="white"/>
        </w:rPr>
        <w:t>监管部门及人员应严格按照招标投标法律法规及有关规范性文件的规定，认真履行建设项目招标投标活动的监督管理职责。</w:t>
      </w:r>
    </w:p>
    <w:p>
      <w:pPr>
        <w:pStyle w:val="4"/>
        <w:keepNext w:val="0"/>
        <w:keepLines w:val="0"/>
        <w:bidi w:val="0"/>
        <w:spacing w:before="120" w:after="240" w:line="360" w:lineRule="exact"/>
        <w:rPr>
          <w:rFonts w:ascii="黑体"/>
          <w:b w:val="0"/>
          <w:sz w:val="24"/>
          <w:szCs w:val="24"/>
        </w:rPr>
      </w:pPr>
      <w:bookmarkStart w:id="67" w:name="_Toc3265"/>
      <w:r>
        <w:rPr>
          <w:rFonts w:hint="eastAsia" w:ascii="黑体"/>
          <w:b w:val="0"/>
          <w:sz w:val="24"/>
          <w:szCs w:val="24"/>
          <w:highlight w:val="white"/>
        </w:rPr>
        <w:t>11.5 异议与投诉</w:t>
      </w:r>
      <w:bookmarkEnd w:id="67"/>
    </w:p>
    <w:p>
      <w:pPr>
        <w:bidi w:val="0"/>
        <w:spacing w:line="400" w:lineRule="exact"/>
        <w:ind w:firstLine="420" w:firstLineChars="200"/>
        <w:rPr>
          <w:rFonts w:hint="eastAsia" w:ascii="宋体" w:hAnsi="宋体"/>
          <w:szCs w:val="21"/>
        </w:rPr>
      </w:pPr>
      <w:r>
        <w:rPr>
          <w:rFonts w:hint="eastAsia" w:ascii="宋体" w:hAnsi="宋体"/>
          <w:szCs w:val="21"/>
          <w:highlight w:val="white"/>
        </w:rPr>
        <w:t>11.5.1异议</w:t>
      </w:r>
    </w:p>
    <w:p>
      <w:pPr>
        <w:bidi w:val="0"/>
        <w:spacing w:line="400" w:lineRule="exact"/>
        <w:ind w:firstLine="420" w:firstLineChars="200"/>
        <w:rPr>
          <w:rFonts w:hint="eastAsia" w:ascii="宋体" w:hAnsi="宋体"/>
          <w:szCs w:val="21"/>
        </w:rPr>
      </w:pPr>
      <w:r>
        <w:rPr>
          <w:rFonts w:hint="eastAsia" w:ascii="宋体" w:hAnsi="宋体"/>
          <w:szCs w:val="21"/>
          <w:highlight w:val="white"/>
        </w:rPr>
        <w:t>投标人或者其他利害关系人对招标文件有异议的，应在投标人须知前附表规定的时间前提出。招标人应当自收到异议之日起3日内作出答复；作出答复前，应当暂停招标投标活动。</w:t>
      </w:r>
    </w:p>
    <w:p>
      <w:pPr>
        <w:bidi w:val="0"/>
        <w:spacing w:line="400" w:lineRule="exact"/>
        <w:ind w:firstLine="420" w:firstLineChars="200"/>
        <w:rPr>
          <w:rFonts w:hint="eastAsia" w:ascii="宋体" w:hAnsi="宋体"/>
          <w:szCs w:val="21"/>
        </w:rPr>
      </w:pPr>
      <w:r>
        <w:rPr>
          <w:rFonts w:hint="eastAsia" w:ascii="宋体" w:hAnsi="宋体"/>
          <w:szCs w:val="21"/>
          <w:highlight w:val="white"/>
        </w:rPr>
        <w:t>投标人对开标有异议的，应当在开标现场提出，招标人应当当场作出答复，并制作记录。</w:t>
      </w:r>
    </w:p>
    <w:p>
      <w:pPr>
        <w:bidi w:val="0"/>
        <w:spacing w:line="400" w:lineRule="exact"/>
        <w:ind w:firstLine="420" w:firstLineChars="200"/>
        <w:rPr>
          <w:rFonts w:hint="eastAsia" w:ascii="宋体" w:hAnsi="宋体"/>
          <w:szCs w:val="21"/>
        </w:rPr>
      </w:pPr>
      <w:r>
        <w:rPr>
          <w:rFonts w:hint="eastAsia" w:ascii="宋体" w:hAnsi="宋体"/>
          <w:szCs w:val="21"/>
          <w:highlight w:val="white"/>
        </w:rPr>
        <w:t>投标人或者其他利害关系人对依法必须进行招标的项目的评标结果有异议的，应当在中标候选人公示期间提出。</w:t>
      </w:r>
    </w:p>
    <w:p>
      <w:pPr>
        <w:bidi w:val="0"/>
        <w:spacing w:line="400" w:lineRule="exact"/>
        <w:ind w:firstLine="420" w:firstLineChars="200"/>
        <w:rPr>
          <w:rFonts w:hint="eastAsia" w:ascii="宋体" w:hAnsi="宋体"/>
          <w:szCs w:val="21"/>
        </w:rPr>
      </w:pPr>
      <w:r>
        <w:rPr>
          <w:rFonts w:hint="eastAsia" w:ascii="宋体" w:hAnsi="宋体"/>
          <w:szCs w:val="21"/>
          <w:highlight w:val="white"/>
        </w:rPr>
        <w:t>11.5.2投诉</w:t>
      </w:r>
    </w:p>
    <w:p>
      <w:pPr>
        <w:bidi w:val="0"/>
        <w:spacing w:line="400" w:lineRule="exact"/>
        <w:ind w:firstLine="420" w:firstLineChars="200"/>
        <w:rPr>
          <w:rFonts w:ascii="宋体" w:hAnsi="宋体"/>
          <w:szCs w:val="21"/>
        </w:rPr>
      </w:pPr>
      <w:r>
        <w:rPr>
          <w:rFonts w:hint="eastAsia" w:ascii="宋体" w:hAnsi="宋体"/>
          <w:szCs w:val="21"/>
          <w:highlight w:val="white"/>
        </w:rPr>
        <w:t>投标人和其他利害关系人认为本次招标活动违反法律、法规和规章规定的，可以在知道或者应当知道之日起十日内向“投标人须知前附表”明确的招投标监督管理部门提出书面投诉。投诉应当有明确的请求和必要的证明材料。就第11.5.1款规定事项提出投诉的，应先向招标人提出异议。</w:t>
      </w:r>
    </w:p>
    <w:p>
      <w:pPr>
        <w:bidi w:val="0"/>
        <w:rPr>
          <w:highlight w:val="cyan"/>
        </w:rPr>
      </w:pPr>
      <w:r>
        <w:rPr>
          <w:rFonts w:hint="eastAsia"/>
          <w:color w:val="000080"/>
          <w:sz w:val="20"/>
          <w:highlight w:val="white"/>
        </w:rPr>
        <w:t xml:space="preserve"> </w:t>
      </w:r>
    </w:p>
    <w:p>
      <w:pPr>
        <w:bidi w:val="0"/>
        <w:rPr>
          <w:rFonts w:hint="eastAsia"/>
          <w:highlight w:val="yellow"/>
        </w:rPr>
      </w:pPr>
      <w:r>
        <w:rPr>
          <w:rFonts w:hint="eastAsia"/>
          <w:color w:val="000080"/>
          <w:sz w:val="20"/>
          <w:highlight w:val="white"/>
        </w:rPr>
        <w:t xml:space="preserve">  </w:t>
      </w:r>
    </w:p>
    <w:p>
      <w:pPr>
        <w:pStyle w:val="3"/>
        <w:wordWrap w:val="0"/>
        <w:bidi w:val="0"/>
        <w:spacing w:line="360" w:lineRule="auto"/>
        <w:rPr>
          <w:rFonts w:ascii="Times New Roman" w:hAnsi="Times New Roman"/>
        </w:rPr>
      </w:pPr>
      <w:bookmarkStart w:id="68" w:name="_Toc5552"/>
      <w:r>
        <w:rPr>
          <w:rFonts w:ascii="Times New Roman" w:hAnsi="Times New Roman"/>
          <w:highlight w:val="white"/>
        </w:rPr>
        <w:t xml:space="preserve">12. </w:t>
      </w:r>
      <w:r>
        <w:rPr>
          <w:rFonts w:hint="eastAsia" w:ascii="Times New Roman" w:hAnsi="Times New Roman"/>
          <w:highlight w:val="white"/>
        </w:rPr>
        <w:t>需要补充的其他内容</w:t>
      </w:r>
      <w:bookmarkEnd w:id="68"/>
    </w:p>
    <w:p>
      <w:pPr>
        <w:bidi w:val="0"/>
        <w:spacing w:line="360" w:lineRule="exact"/>
        <w:ind w:firstLine="420" w:firstLineChars="200"/>
        <w:rPr>
          <w:rFonts w:hint="eastAsia" w:hAnsi="宋体"/>
          <w:szCs w:val="21"/>
        </w:rPr>
      </w:pPr>
      <w:r>
        <w:rPr>
          <w:rFonts w:hint="eastAsia" w:hAnsi="宋体"/>
          <w:szCs w:val="21"/>
          <w:highlight w:val="white"/>
        </w:rPr>
        <w:t>需要补充的其他内容：见投标人须知前附表。</w:t>
      </w:r>
    </w:p>
    <w:p>
      <w:pPr>
        <w:bidi w:val="0"/>
        <w:rPr>
          <w:rFonts w:hint="eastAsia"/>
          <w:highlight w:val="cyan"/>
        </w:rPr>
      </w:pPr>
      <w:r>
        <w:rPr>
          <w:rFonts w:hint="eastAsia"/>
          <w:color w:val="000080"/>
          <w:sz w:val="20"/>
          <w:highlight w:val="white"/>
        </w:rPr>
        <w:t xml:space="preserve"> </w:t>
      </w:r>
    </w:p>
    <w:p>
      <w:pPr>
        <w:bidi w:val="0"/>
        <w:rPr>
          <w:rFonts w:hint="eastAsia"/>
          <w:highlight w:val="magenta"/>
        </w:rPr>
      </w:pPr>
      <w:r>
        <w:rPr>
          <w:highlight w:val="white"/>
        </w:rPr>
        <w:br w:type="page"/>
      </w:r>
      <w:r>
        <w:rPr>
          <w:color w:val="000080"/>
          <w:sz w:val="20"/>
          <w:highlight w:val="white"/>
        </w:rPr>
        <w:t xml:space="preserve"> </w:t>
      </w:r>
    </w:p>
    <w:p>
      <w:pPr>
        <w:bidi w:val="0"/>
        <w:spacing w:line="360" w:lineRule="exact"/>
        <w:ind w:firstLine="342" w:firstLineChars="171"/>
        <w:rPr>
          <w:rFonts w:hint="eastAsia"/>
          <w:szCs w:val="21"/>
          <w:highlight w:val="magenta"/>
        </w:rPr>
      </w:pPr>
      <w:r>
        <w:rPr>
          <w:color w:val="000080"/>
          <w:sz w:val="20"/>
          <w:szCs w:val="21"/>
          <w:highlight w:val="white"/>
        </w:rPr>
        <w:t xml:space="preserve"> </w:t>
      </w:r>
    </w:p>
    <w:p>
      <w:pPr>
        <w:bidi w:val="0"/>
        <w:spacing w:line="360" w:lineRule="exact"/>
        <w:rPr>
          <w:rFonts w:hint="eastAsia"/>
          <w:szCs w:val="21"/>
          <w:highlight w:val="magenta"/>
        </w:rPr>
      </w:pPr>
    </w:p>
    <w:p>
      <w:pPr>
        <w:pStyle w:val="2"/>
        <w:bidi w:val="0"/>
        <w:rPr>
          <w:b w:val="0"/>
        </w:rPr>
      </w:pPr>
      <w:bookmarkStart w:id="69" w:name="_Toc31807"/>
      <w:r>
        <w:rPr>
          <w:rFonts w:hint="eastAsia"/>
          <w:b w:val="0"/>
          <w:highlight w:val="white"/>
        </w:rPr>
        <w:t>第三章</w:t>
      </w:r>
      <w:r>
        <w:rPr>
          <w:b w:val="0"/>
          <w:highlight w:val="white"/>
        </w:rPr>
        <w:t xml:space="preserve"> </w:t>
      </w:r>
      <w:r>
        <w:rPr>
          <w:rFonts w:hint="eastAsia"/>
          <w:b w:val="0"/>
          <w:highlight w:val="white"/>
        </w:rPr>
        <w:t>评标办法（合理低价法）</w:t>
      </w:r>
      <w:bookmarkEnd w:id="69"/>
    </w:p>
    <w:p>
      <w:pPr>
        <w:bidi w:val="0"/>
        <w:spacing w:line="372" w:lineRule="auto"/>
        <w:outlineLvl w:val="2"/>
        <w:rPr>
          <w:rFonts w:hint="eastAsia" w:ascii="黑体" w:hAnsi="黑体" w:eastAsia="黑体"/>
          <w:sz w:val="28"/>
          <w:szCs w:val="28"/>
        </w:rPr>
      </w:pPr>
      <w:bookmarkStart w:id="70" w:name="_Toc26158"/>
      <w:r>
        <w:rPr>
          <w:rFonts w:hint="eastAsia" w:ascii="黑体" w:hAnsi="黑体" w:eastAsia="黑体"/>
          <w:sz w:val="28"/>
          <w:szCs w:val="28"/>
          <w:highlight w:val="white"/>
        </w:rPr>
        <w:t>1.评标方法</w:t>
      </w:r>
      <w:bookmarkEnd w:id="70"/>
    </w:p>
    <w:p>
      <w:pPr>
        <w:bidi w:val="0"/>
        <w:spacing w:line="360" w:lineRule="exact"/>
        <w:ind w:firstLine="359" w:firstLineChars="171"/>
        <w:rPr>
          <w:rFonts w:hint="eastAsia" w:ascii="宋体" w:hAnsi="宋体"/>
          <w:szCs w:val="21"/>
        </w:rPr>
      </w:pPr>
      <w:r>
        <w:rPr>
          <w:rFonts w:hint="eastAsia" w:ascii="宋体" w:hAnsi="宋体"/>
          <w:szCs w:val="21"/>
          <w:highlight w:val="white"/>
        </w:rPr>
        <w:t>本次评标采用合理低价法，将从投标报价按照本章确定的评分标准进行计分，评分采用百分制，最终得分保留两位小数，并按得分由高到低顺序推荐中标候选人。评分相等时，以投标报价低的优先；投标报价相等的，由招标人自行确定。</w:t>
      </w:r>
    </w:p>
    <w:p>
      <w:pPr>
        <w:bidi w:val="0"/>
        <w:spacing w:line="360" w:lineRule="exact"/>
        <w:ind w:firstLine="359" w:firstLineChars="171"/>
        <w:rPr>
          <w:rFonts w:hint="eastAsia" w:ascii="宋体" w:hAnsi="宋体"/>
          <w:szCs w:val="21"/>
        </w:rPr>
      </w:pPr>
      <w:r>
        <w:rPr>
          <w:rFonts w:hint="eastAsia" w:ascii="宋体" w:hAnsi="宋体"/>
          <w:szCs w:val="21"/>
          <w:highlight w:val="white"/>
        </w:rPr>
        <w:t>评标委员会发现投标人的报价明显低于其他投标报价，使得其投标报价可能低于其成本的，应当要求该投标人做出书面说明并提供相应证明材料。投标人不能合理说明或者不能提供相应证明材料，由评标委员认定该投标人以低于成本报价竞标，其投标作无效标处理。</w:t>
      </w:r>
    </w:p>
    <w:p>
      <w:pPr>
        <w:bidi w:val="0"/>
        <w:spacing w:line="372" w:lineRule="auto"/>
        <w:outlineLvl w:val="2"/>
        <w:rPr>
          <w:rFonts w:hint="eastAsia" w:ascii="黑体" w:hAnsi="黑体" w:eastAsia="黑体"/>
          <w:sz w:val="28"/>
          <w:szCs w:val="28"/>
        </w:rPr>
      </w:pPr>
      <w:bookmarkStart w:id="71" w:name="_Toc10882"/>
      <w:r>
        <w:rPr>
          <w:rFonts w:hint="eastAsia" w:ascii="黑体" w:hAnsi="黑体" w:eastAsia="黑体"/>
          <w:sz w:val="28"/>
          <w:szCs w:val="28"/>
          <w:highlight w:val="white"/>
        </w:rPr>
        <w:t>2.评审标准</w:t>
      </w:r>
      <w:bookmarkEnd w:id="71"/>
    </w:p>
    <w:p>
      <w:pPr>
        <w:bidi w:val="0"/>
        <w:outlineLvl w:val="3"/>
        <w:rPr>
          <w:rFonts w:hint="eastAsia" w:ascii="宋体" w:hAnsi="宋体"/>
          <w:b/>
          <w:sz w:val="24"/>
        </w:rPr>
      </w:pPr>
      <w:r>
        <w:rPr>
          <w:rFonts w:hint="eastAsia" w:ascii="宋体" w:hAnsi="宋体"/>
          <w:b/>
          <w:sz w:val="24"/>
          <w:highlight w:val="white"/>
        </w:rPr>
        <w:t>2.1初步评审标准</w:t>
      </w:r>
    </w:p>
    <w:p>
      <w:pPr>
        <w:bidi w:val="0"/>
        <w:spacing w:line="360" w:lineRule="exact"/>
        <w:ind w:firstLine="359" w:firstLineChars="171"/>
        <w:rPr>
          <w:szCs w:val="21"/>
        </w:rPr>
      </w:pPr>
      <w:r>
        <w:rPr>
          <w:rFonts w:hint="eastAsia"/>
          <w:szCs w:val="21"/>
          <w:highlight w:val="white"/>
        </w:rPr>
        <w:t>评标委员会审查每一个投标文件，根据初步评审标准对投标文件进行初步评审，对照无效标条款，有一项不符合评审标准的，即作无效标处理。</w:t>
      </w:r>
    </w:p>
    <w:p>
      <w:pPr>
        <w:bidi w:val="0"/>
        <w:rPr>
          <w:rFonts w:hint="eastAsia"/>
          <w:highlight w:val="red"/>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0"/>
        <w:gridCol w:w="1600"/>
        <w:gridCol w:w="4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00" w:type="dxa"/>
            <w:gridSpan w:val="3"/>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sz w:val="21"/>
                <w:szCs w:val="24"/>
              </w:rPr>
            </w:pPr>
            <w:r>
              <w:rPr>
                <w:rStyle w:val="14"/>
                <w:rFonts w:ascii="宋体" w:hAnsi="宋体" w:eastAsia="宋体" w:cs="宋体"/>
                <w:b/>
                <w:sz w:val="21"/>
                <w:szCs w:val="24"/>
                <w:highlight w:val="white"/>
              </w:rPr>
              <w:t>合理低价法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r>
              <w:rPr>
                <w:rStyle w:val="14"/>
                <w:rFonts w:ascii="宋体" w:hAnsi="宋体" w:eastAsia="宋体" w:cs="宋体"/>
                <w:b/>
                <w:sz w:val="21"/>
                <w:szCs w:val="24"/>
                <w:highlight w:val="white"/>
              </w:rPr>
              <w:t>条款号</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r>
              <w:rPr>
                <w:rStyle w:val="14"/>
                <w:rFonts w:ascii="宋体" w:hAnsi="宋体" w:eastAsia="宋体" w:cs="宋体"/>
                <w:b/>
                <w:sz w:val="21"/>
                <w:szCs w:val="24"/>
                <w:highlight w:val="white"/>
              </w:rPr>
              <w:t>评审因素</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r>
              <w:rPr>
                <w:rStyle w:val="14"/>
                <w:rFonts w:ascii="宋体" w:hAnsi="宋体" w:eastAsia="宋体" w:cs="宋体"/>
                <w:b/>
                <w:sz w:val="21"/>
                <w:szCs w:val="24"/>
                <w:highlight w:val="whit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r>
              <w:rPr>
                <w:rStyle w:val="14"/>
                <w:rFonts w:ascii="宋体" w:hAnsi="宋体" w:eastAsia="宋体" w:cs="宋体"/>
                <w:b w:val="0"/>
                <w:sz w:val="21"/>
                <w:szCs w:val="24"/>
                <w:highlight w:val="white"/>
              </w:rPr>
              <w:t>2.1.1形式评审标准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投标人名称</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与营业执照、资质证书、安全生产许可证一致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投标函签字盖章</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有法定代表人（或企业法定代表人委托代理人）印章（或签字）并加盖投标人公章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投标文件格式</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符合第八章“投标文件格式”的要求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联合体投标人</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报价唯一</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r>
              <w:rPr>
                <w:rStyle w:val="14"/>
                <w:rFonts w:ascii="宋体" w:hAnsi="宋体" w:eastAsia="宋体" w:cs="宋体"/>
                <w:b w:val="0"/>
                <w:sz w:val="21"/>
                <w:szCs w:val="24"/>
                <w:highlight w:val="white"/>
              </w:rPr>
              <w:t>2.1.2资格评审标准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营业执照</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安全生产许可证</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资质等级</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hint="eastAsia" w:ascii="宋体" w:hAnsi="宋体" w:eastAsia="宋体" w:cs="宋体"/>
                <w:b w:val="0"/>
                <w:sz w:val="21"/>
                <w:szCs w:val="24"/>
                <w:lang w:eastAsia="zh-CN"/>
              </w:rPr>
            </w:pPr>
            <w:r>
              <w:rPr>
                <w:rStyle w:val="14"/>
                <w:rFonts w:hint="eastAsia" w:ascii="宋体" w:hAnsi="宋体" w:eastAsia="宋体" w:cs="宋体"/>
                <w:b w:val="0"/>
                <w:sz w:val="21"/>
                <w:szCs w:val="24"/>
                <w:highlight w:val="white"/>
                <w:lang w:eastAsia="zh-CN"/>
              </w:rPr>
              <w:t>具备建筑幕墙工程专业承包二级及以上</w:t>
            </w:r>
            <w:r>
              <w:rPr>
                <w:rStyle w:val="14"/>
                <w:rFonts w:hint="eastAsia" w:ascii="宋体" w:hAnsi="宋体" w:eastAsia="宋体" w:cs="宋体"/>
                <w:b w:val="0"/>
                <w:sz w:val="21"/>
                <w:szCs w:val="24"/>
                <w:highlight w:val="white"/>
                <w:lang w:val="en-US" w:eastAsia="zh-CN"/>
              </w:rPr>
              <w:t>企业</w:t>
            </w:r>
            <w:r>
              <w:rPr>
                <w:rStyle w:val="14"/>
                <w:rFonts w:hint="eastAsia" w:ascii="宋体" w:hAnsi="宋体" w:eastAsia="宋体" w:cs="宋体"/>
                <w:b w:val="0"/>
                <w:sz w:val="21"/>
                <w:szCs w:val="24"/>
                <w:highlight w:val="white"/>
                <w:lang w:eastAsia="zh-CN"/>
              </w:rPr>
              <w:t>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项目负责人资格</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hint="eastAsia" w:ascii="宋体" w:hAnsi="宋体" w:eastAsia="宋体" w:cs="宋体"/>
                <w:b w:val="0"/>
                <w:sz w:val="21"/>
                <w:szCs w:val="24"/>
                <w:lang w:eastAsia="zh-CN"/>
              </w:rPr>
            </w:pPr>
            <w:r>
              <w:rPr>
                <w:rStyle w:val="14"/>
                <w:rFonts w:hint="eastAsia" w:ascii="宋体" w:hAnsi="宋体" w:eastAsia="宋体" w:cs="宋体"/>
                <w:b w:val="0"/>
                <w:sz w:val="21"/>
                <w:szCs w:val="24"/>
                <w:highlight w:val="white"/>
                <w:lang w:eastAsia="zh-CN"/>
              </w:rPr>
              <w:t>具备建筑工程专业二级及以上注册建造师资格，并同时具有建筑施工企业项目负责人安全生产考核合格证书（B 类证）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项目负责人社会养老保险</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投标人</w:t>
            </w:r>
            <w:r>
              <w:rPr>
                <w:rStyle w:val="14"/>
                <w:rFonts w:hint="eastAsia" w:ascii="宋体" w:hAnsi="宋体" w:eastAsia="宋体" w:cs="宋体"/>
                <w:b w:val="0"/>
                <w:sz w:val="21"/>
                <w:szCs w:val="24"/>
                <w:highlight w:val="white"/>
                <w:lang w:val="en-US" w:eastAsia="zh-CN"/>
              </w:rPr>
              <w:t>拟派</w:t>
            </w:r>
            <w:r>
              <w:rPr>
                <w:rStyle w:val="14"/>
                <w:rFonts w:ascii="宋体" w:hAnsi="宋体" w:eastAsia="宋体" w:cs="宋体"/>
                <w:b w:val="0"/>
                <w:sz w:val="21"/>
                <w:szCs w:val="24"/>
                <w:highlight w:val="white"/>
              </w:rPr>
              <w:t>项目负责人必须为本单位人员，且在投标时提供投标前 6 个月内本单位为其办理的任意一个月社会养老保险或医疗保险缴纳证明材料。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其他要求</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符合第二章投标人须知总则第1.4.1条款规定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联合体投标人</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r>
              <w:rPr>
                <w:rStyle w:val="14"/>
                <w:rFonts w:ascii="宋体" w:hAnsi="宋体" w:eastAsia="宋体" w:cs="宋体"/>
                <w:b w:val="0"/>
                <w:sz w:val="21"/>
                <w:szCs w:val="24"/>
                <w:highlight w:val="white"/>
              </w:rPr>
              <w:t>2.1.3响应性评审</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投标范围</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hint="eastAsia" w:ascii="宋体" w:hAnsi="宋体" w:eastAsia="宋体" w:cs="宋体"/>
                <w:b w:val="0"/>
                <w:sz w:val="21"/>
                <w:szCs w:val="24"/>
                <w:highlight w:val="white"/>
                <w:lang w:eastAsia="zh-CN"/>
              </w:rPr>
              <w:t>宿迁市第一人民医院综合楼大厅干挂壁瓷砖改造及感染楼干挂壁瓷砖加固工程</w:t>
            </w:r>
            <w:r>
              <w:rPr>
                <w:rStyle w:val="14"/>
                <w:rFonts w:ascii="宋体" w:hAnsi="宋体" w:eastAsia="宋体" w:cs="宋体"/>
                <w:b w:val="0"/>
                <w:sz w:val="21"/>
                <w:szCs w:val="24"/>
                <w:highlight w:val="white"/>
              </w:rPr>
              <w:t>，详见工程量清单。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工期</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hint="eastAsia" w:ascii="宋体" w:hAnsi="宋体" w:eastAsia="宋体" w:cs="宋体"/>
                <w:b w:val="0"/>
                <w:sz w:val="21"/>
                <w:szCs w:val="24"/>
                <w:highlight w:val="white"/>
                <w:lang w:val="en-US" w:eastAsia="zh-CN"/>
              </w:rPr>
              <w:t>60</w:t>
            </w:r>
            <w:r>
              <w:rPr>
                <w:rStyle w:val="14"/>
                <w:rFonts w:ascii="宋体" w:hAnsi="宋体" w:eastAsia="宋体" w:cs="宋体"/>
                <w:b w:val="0"/>
                <w:sz w:val="21"/>
                <w:szCs w:val="24"/>
                <w:highlight w:val="whit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工程质量</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投标有效期</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投标截止日后60日历天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投标保证金</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hint="eastAsia" w:ascii="宋体" w:hAnsi="宋体" w:eastAsia="宋体" w:cs="宋体"/>
                <w:b w:val="0"/>
                <w:sz w:val="21"/>
                <w:szCs w:val="24"/>
                <w:highlight w:val="none"/>
                <w:lang w:val="en-US" w:eastAsia="zh-CN"/>
              </w:rPr>
              <w:t>7500</w:t>
            </w:r>
            <w:r>
              <w:rPr>
                <w:rStyle w:val="14"/>
                <w:rFonts w:ascii="宋体" w:hAnsi="宋体" w:eastAsia="宋体" w:cs="宋体"/>
                <w:b w:val="0"/>
                <w:sz w:val="21"/>
                <w:szCs w:val="24"/>
                <w:highlight w:val="none"/>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权利义务</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符合第四章“建设工程施工合同”规定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文件</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符合3.6.6、3.6.7规定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已标价工程量清单</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符合“工程量清单”给出的范围及数量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center"/>
              <w:rPr>
                <w:rStyle w:val="14"/>
                <w:rFonts w:ascii="宋体" w:hAnsi="宋体" w:eastAsia="宋体" w:cs="宋体"/>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技术标准和要求</w:t>
            </w:r>
          </w:p>
        </w:tc>
        <w:tc>
          <w:tcPr>
            <w:tcW w:w="4800" w:type="dxa"/>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8"/>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符合“技术标准和要求”规定</w:t>
            </w:r>
          </w:p>
        </w:tc>
      </w:tr>
    </w:tbl>
    <w:p>
      <w:pPr>
        <w:bidi w:val="0"/>
        <w:rPr>
          <w:color w:val="000080"/>
          <w:sz w:val="20"/>
          <w:highlight w:val="white"/>
        </w:rPr>
      </w:pPr>
      <w:r>
        <w:rPr>
          <w:color w:val="000080"/>
          <w:sz w:val="20"/>
          <w:highlight w:val="white"/>
        </w:rPr>
        <w:t xml:space="preserve"> </w:t>
      </w:r>
    </w:p>
    <w:p>
      <w:pPr>
        <w:bidi w:val="0"/>
        <w:outlineLvl w:val="3"/>
        <w:rPr>
          <w:rFonts w:ascii="宋体" w:hAnsi="宋体"/>
          <w:b/>
          <w:sz w:val="24"/>
        </w:rPr>
      </w:pPr>
      <w:r>
        <w:rPr>
          <w:rFonts w:hint="eastAsia" w:ascii="宋体" w:hAnsi="宋体"/>
          <w:b/>
          <w:sz w:val="24"/>
          <w:highlight w:val="white"/>
        </w:rPr>
        <w:t>2.2详细评审标准</w:t>
      </w:r>
    </w:p>
    <w:p>
      <w:pPr>
        <w:bidi w:val="0"/>
        <w:spacing w:line="360" w:lineRule="exact"/>
        <w:ind w:firstLine="359" w:firstLineChars="171"/>
        <w:rPr>
          <w:szCs w:val="21"/>
        </w:rPr>
      </w:pPr>
      <w:r>
        <w:rPr>
          <w:szCs w:val="21"/>
          <w:highlight w:val="white"/>
        </w:rPr>
        <w:t>2.2.1</w:t>
      </w:r>
      <w:r>
        <w:rPr>
          <w:rFonts w:hint="eastAsia"/>
          <w:szCs w:val="21"/>
          <w:highlight w:val="white"/>
        </w:rPr>
        <w:t>经初步评审合格的投标文件，评标委员会根据招标文件确定的评标标准和方法，对其作进一步评审。具体评分标准如下：</w:t>
      </w:r>
    </w:p>
    <w:p>
      <w:pPr>
        <w:bidi w:val="0"/>
        <w:rPr>
          <w:rFonts w:hint="eastAsia"/>
          <w:highlight w:val="red"/>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200"/>
        <w:gridCol w:w="800"/>
        <w:gridCol w:w="800"/>
        <w:gridCol w:w="4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9"/>
              <w:bidi w:val="0"/>
              <w:jc w:val="center"/>
              <w:rPr>
                <w:rStyle w:val="14"/>
                <w:rFonts w:ascii="宋体" w:hAnsi="宋体" w:eastAsia="宋体" w:cs="宋体"/>
                <w:sz w:val="21"/>
                <w:szCs w:val="24"/>
              </w:rPr>
            </w:pPr>
            <w:r>
              <w:rPr>
                <w:rStyle w:val="14"/>
                <w:rFonts w:ascii="宋体" w:hAnsi="宋体" w:eastAsia="宋体" w:cs="宋体"/>
                <w:b/>
                <w:sz w:val="21"/>
                <w:szCs w:val="24"/>
                <w:highlight w:val="white"/>
              </w:rPr>
              <w:t>条款号</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9"/>
              <w:bidi w:val="0"/>
              <w:jc w:val="center"/>
              <w:rPr>
                <w:rStyle w:val="14"/>
                <w:rFonts w:ascii="宋体" w:hAnsi="宋体" w:eastAsia="宋体" w:cs="宋体"/>
                <w:b w:val="0"/>
                <w:sz w:val="21"/>
                <w:szCs w:val="24"/>
              </w:rPr>
            </w:pPr>
            <w:r>
              <w:rPr>
                <w:rStyle w:val="14"/>
                <w:rFonts w:ascii="宋体" w:hAnsi="宋体" w:eastAsia="宋体" w:cs="宋体"/>
                <w:b/>
                <w:sz w:val="21"/>
                <w:szCs w:val="24"/>
                <w:highlight w:val="white"/>
              </w:rPr>
              <w:t>评审因素</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9"/>
              <w:bidi w:val="0"/>
              <w:jc w:val="center"/>
              <w:rPr>
                <w:rStyle w:val="14"/>
                <w:rFonts w:ascii="宋体" w:hAnsi="宋体" w:eastAsia="宋体" w:cs="宋体"/>
                <w:b w:val="0"/>
                <w:sz w:val="21"/>
                <w:szCs w:val="24"/>
              </w:rPr>
            </w:pPr>
            <w:r>
              <w:rPr>
                <w:rStyle w:val="14"/>
                <w:rFonts w:ascii="宋体" w:hAnsi="宋体" w:eastAsia="宋体" w:cs="宋体"/>
                <w:b/>
                <w:sz w:val="21"/>
                <w:szCs w:val="24"/>
                <w:highlight w:val="white"/>
              </w:rPr>
              <w:t>最高分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9"/>
              <w:bidi w:val="0"/>
              <w:jc w:val="center"/>
              <w:rPr>
                <w:rStyle w:val="14"/>
                <w:rFonts w:ascii="宋体" w:hAnsi="宋体" w:eastAsia="宋体" w:cs="宋体"/>
                <w:b w:val="0"/>
                <w:sz w:val="21"/>
                <w:szCs w:val="24"/>
              </w:rPr>
            </w:pPr>
            <w:r>
              <w:rPr>
                <w:rStyle w:val="14"/>
                <w:rFonts w:ascii="宋体" w:hAnsi="宋体" w:eastAsia="宋体" w:cs="宋体"/>
                <w:b/>
                <w:sz w:val="21"/>
                <w:szCs w:val="24"/>
                <w:highlight w:val="white"/>
              </w:rPr>
              <w:t>最低分</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9"/>
              <w:bidi w:val="0"/>
              <w:jc w:val="center"/>
              <w:rPr>
                <w:rStyle w:val="14"/>
                <w:rFonts w:ascii="宋体" w:hAnsi="宋体" w:eastAsia="宋体" w:cs="宋体"/>
                <w:b w:val="0"/>
                <w:sz w:val="21"/>
                <w:szCs w:val="24"/>
              </w:rPr>
            </w:pPr>
            <w:r>
              <w:rPr>
                <w:rStyle w:val="14"/>
                <w:rFonts w:ascii="宋体" w:hAnsi="宋体" w:eastAsia="宋体" w:cs="宋体"/>
                <w:b/>
                <w:sz w:val="21"/>
                <w:szCs w:val="24"/>
                <w:highlight w:val="whit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9"/>
              <w:bidi w:val="0"/>
              <w:jc w:val="center"/>
              <w:rPr>
                <w:rStyle w:val="14"/>
                <w:rFonts w:ascii="宋体" w:hAnsi="宋体" w:eastAsia="宋体" w:cs="宋体"/>
                <w:b w:val="0"/>
                <w:sz w:val="21"/>
                <w:szCs w:val="24"/>
              </w:rPr>
            </w:pPr>
            <w:r>
              <w:rPr>
                <w:rStyle w:val="14"/>
                <w:rFonts w:ascii="宋体" w:hAnsi="宋体" w:eastAsia="宋体" w:cs="宋体"/>
                <w:b w:val="0"/>
                <w:sz w:val="21"/>
                <w:szCs w:val="24"/>
                <w:highlight w:val="white"/>
              </w:rPr>
              <w:t>经济标评审</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9"/>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投标报价</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9"/>
              <w:bidi w:val="0"/>
              <w:jc w:val="left"/>
              <w:rPr>
                <w:rStyle w:val="14"/>
                <w:rFonts w:ascii="宋体" w:hAnsi="宋体" w:eastAsia="宋体" w:cs="宋体"/>
                <w:b w:val="0"/>
                <w:sz w:val="21"/>
                <w:szCs w:val="24"/>
              </w:rPr>
            </w:pPr>
            <w:r>
              <w:rPr>
                <w:rStyle w:val="14"/>
                <w:rFonts w:hint="eastAsia" w:ascii="宋体" w:hAnsi="宋体" w:eastAsia="宋体" w:cs="宋体"/>
                <w:b w:val="0"/>
                <w:sz w:val="21"/>
                <w:szCs w:val="24"/>
                <w:highlight w:val="white"/>
                <w:lang w:val="en-US" w:eastAsia="zh-CN"/>
              </w:rPr>
              <w:t>100</w:t>
            </w:r>
            <w:r>
              <w:rPr>
                <w:rStyle w:val="14"/>
                <w:rFonts w:ascii="宋体" w:hAnsi="宋体" w:eastAsia="宋体" w:cs="宋体"/>
                <w:b w:val="0"/>
                <w:sz w:val="21"/>
                <w:szCs w:val="24"/>
                <w:highlight w:val="white"/>
              </w:rPr>
              <w:t>.00</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9"/>
              <w:bidi w:val="0"/>
              <w:jc w:val="left"/>
              <w:rPr>
                <w:rStyle w:val="14"/>
                <w:rFonts w:ascii="宋体" w:hAnsi="宋体" w:eastAsia="宋体" w:cs="宋体"/>
                <w:b w:val="0"/>
                <w:sz w:val="21"/>
                <w:szCs w:val="24"/>
              </w:rPr>
            </w:pPr>
            <w:r>
              <w:rPr>
                <w:rStyle w:val="14"/>
                <w:rFonts w:ascii="宋体" w:hAnsi="宋体" w:eastAsia="宋体" w:cs="宋体"/>
                <w:b w:val="0"/>
                <w:sz w:val="21"/>
                <w:szCs w:val="24"/>
                <w:highlight w:val="white"/>
              </w:rPr>
              <w:t>0.00</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vAlign w:val="center"/>
          </w:tcPr>
          <w:p>
            <w:pPr>
              <w:pStyle w:val="19"/>
              <w:bidi w:val="0"/>
              <w:jc w:val="left"/>
              <w:rPr>
                <w:rStyle w:val="14"/>
                <w:rFonts w:ascii="宋体" w:hAnsi="宋体" w:eastAsia="宋体" w:cs="宋体"/>
                <w:b w:val="0"/>
                <w:sz w:val="21"/>
                <w:szCs w:val="24"/>
              </w:rPr>
            </w:pPr>
            <w:r>
              <w:rPr>
                <w:rStyle w:val="14"/>
                <w:rFonts w:hint="eastAsia" w:ascii="宋体" w:hAnsi="宋体" w:eastAsia="宋体" w:cs="宋体"/>
                <w:b w:val="0"/>
                <w:sz w:val="21"/>
                <w:szCs w:val="24"/>
              </w:rPr>
              <w:t>在以下两种方法中，招标人可以在在开标时随机抽取确定。方法一：以有效投标文件 (有效投标文件是指初步评审合格的投标文件，下同)的评标价(评标价是指经澄清、 补正和修正算术计算错误的投标报价，下同)算术平均值为 A(当有效投标文件≥ 7 家时，去掉最高和最低 20%(四舍五入取整，末位投标报价相同的均保留)后进行平均；当有效投标文件 4-6 家时，剔除最高报价(最高报价相同的均剔除)后进行算术平均；当有效投标文件＜4 家时，则次低报价作为投标平均价A)。评标基准价= A× K，Κ 值在开标时由招标人代表随机抽取确定，K 值的取值范围为95%，96%，97%， 98% 。方法二：以有效投标文件的评标价算术平均值为 A(当有效投标文仵≥ 7 家 时，去掉最高和最低 20% (四舍五入取整)后进行平均；当有效投标文件 4-6 家 时，剔除最高报价(最高报价相同的均剔除)后进行算术平均；当有效投标文件＜4 家时，则次低报价作为投标平均价 A)，招标控制价为 B，则：评标基准价=A × K1×Q1+B× K2 × Q2，Q2=1- Q1，Q1 取值范围为 65%、70%、75%、80%、85%；K1 的取值范围为 95% 、96%、97%、98%；Q1、K1 值在开标时由招标人代表随机抽取确定。K2 的取值范围，建筑工程为 90%~100% ，装饰、 安装为 88% ~100% ，市政工程为 86% ~100% ，园林绿化工程为84% ~100% ，其他工程 88% ~100% 。k2值：90%。说明：1.投标报价与基准价相比的偏差率，每高 1%扣 0.9 分，每低 1%扣 0.6分。偏离不足 1%的，按照插入法计算得分。2.评标价指经澄清、补正和修正算 术计算错误的投标报价；3.评标委员会在评标报告上签字后，上述方法一和方法二的评标基准价不因招投标当事人质疑、投诉、复议以及其它任何情形而改变，但评标过程中的计算错误可做调整；4.有效投标文件是指未被评标委员会判定为无效标的投标文件。</w:t>
            </w:r>
          </w:p>
        </w:tc>
      </w:tr>
    </w:tbl>
    <w:p>
      <w:pPr>
        <w:bidi w:val="0"/>
        <w:rPr>
          <w:color w:val="000080"/>
          <w:sz w:val="20"/>
          <w:highlight w:val="white"/>
        </w:rPr>
      </w:pPr>
      <w:r>
        <w:rPr>
          <w:color w:val="000080"/>
          <w:sz w:val="20"/>
          <w:highlight w:val="white"/>
        </w:rPr>
        <w:t xml:space="preserve"> </w:t>
      </w:r>
    </w:p>
    <w:p>
      <w:pPr>
        <w:bidi w:val="0"/>
        <w:spacing w:line="360" w:lineRule="exact"/>
        <w:ind w:firstLine="359" w:firstLineChars="171"/>
        <w:rPr>
          <w:szCs w:val="21"/>
        </w:rPr>
      </w:pPr>
      <w:r>
        <w:rPr>
          <w:szCs w:val="21"/>
          <w:highlight w:val="white"/>
        </w:rPr>
        <w:t>2.2.2</w:t>
      </w:r>
      <w:r>
        <w:rPr>
          <w:rFonts w:hint="eastAsia"/>
          <w:szCs w:val="21"/>
          <w:highlight w:val="white"/>
        </w:rPr>
        <w:t>评标委员会发现投标人的报价明显低于其他投标报价，使得其投标报价可能低于其成本的，应当要求该投标人作出书面说明并提供相应证明材料。投标人不能合理说明或者不能提供相应证明材料，由评标委员认定该投标人以低于成本报价竞标，其投标作</w:t>
      </w:r>
      <w:r>
        <w:rPr>
          <w:rFonts w:hint="eastAsia" w:hAnsi="宋体"/>
          <w:kern w:val="0"/>
          <w:szCs w:val="21"/>
          <w:highlight w:val="white"/>
        </w:rPr>
        <w:t>无效标</w:t>
      </w:r>
      <w:r>
        <w:rPr>
          <w:rFonts w:hint="eastAsia"/>
          <w:szCs w:val="21"/>
          <w:highlight w:val="white"/>
        </w:rPr>
        <w:t>处理。</w:t>
      </w:r>
    </w:p>
    <w:p>
      <w:pPr>
        <w:bidi w:val="0"/>
        <w:outlineLvl w:val="3"/>
        <w:rPr>
          <w:rFonts w:ascii="宋体" w:hAnsi="宋体"/>
          <w:b/>
          <w:sz w:val="24"/>
        </w:rPr>
      </w:pPr>
      <w:r>
        <w:rPr>
          <w:rFonts w:hint="eastAsia" w:ascii="宋体" w:hAnsi="宋体"/>
          <w:b/>
          <w:sz w:val="24"/>
          <w:highlight w:val="white"/>
        </w:rPr>
        <w:t>2.3投标文件的澄清和补正</w:t>
      </w:r>
    </w:p>
    <w:p>
      <w:pPr>
        <w:bidi w:val="0"/>
        <w:spacing w:line="360" w:lineRule="exact"/>
        <w:ind w:firstLine="359" w:firstLineChars="171"/>
        <w:rPr>
          <w:rFonts w:hint="eastAsia"/>
          <w:szCs w:val="21"/>
        </w:rPr>
      </w:pPr>
      <w:r>
        <w:rPr>
          <w:szCs w:val="21"/>
          <w:highlight w:val="white"/>
        </w:rPr>
        <w:t>2.3.1</w:t>
      </w:r>
      <w:r>
        <w:rPr>
          <w:rFonts w:hint="eastAsia"/>
          <w:szCs w:val="21"/>
          <w:highlight w:val="white"/>
        </w:rPr>
        <w:t>在评标过程中，评标委员会可以书面形式要求投标人对所提交的投标文件中不明确的内容进行书面澄清或说明，或者对细微偏差进行补正。评标委员会不接受投标人主动提出的澄清、说明或补正。</w:t>
      </w:r>
    </w:p>
    <w:p>
      <w:pPr>
        <w:bidi w:val="0"/>
        <w:spacing w:line="360" w:lineRule="exact"/>
        <w:ind w:firstLine="359" w:firstLineChars="171"/>
        <w:rPr>
          <w:szCs w:val="21"/>
        </w:rPr>
      </w:pPr>
      <w:r>
        <w:rPr>
          <w:szCs w:val="21"/>
          <w:highlight w:val="white"/>
        </w:rPr>
        <w:t>2.3.2</w:t>
      </w:r>
      <w:r>
        <w:rPr>
          <w:rFonts w:hint="eastAsia"/>
          <w:szCs w:val="21"/>
          <w:highlight w:val="white"/>
        </w:rPr>
        <w:t>澄清、说明和补正不得改变投标文件的实质性内容（算术性错误修正的除外）。投标人的书面澄清、说明和补正属于投标文件的组成部分。</w:t>
      </w:r>
    </w:p>
    <w:p>
      <w:pPr>
        <w:bidi w:val="0"/>
        <w:spacing w:line="360" w:lineRule="exact"/>
        <w:ind w:firstLine="359" w:firstLineChars="171"/>
        <w:rPr>
          <w:szCs w:val="21"/>
        </w:rPr>
      </w:pPr>
      <w:r>
        <w:rPr>
          <w:szCs w:val="21"/>
          <w:highlight w:val="white"/>
        </w:rPr>
        <w:t>2.3.3</w:t>
      </w:r>
      <w:r>
        <w:rPr>
          <w:rFonts w:hint="eastAsia"/>
          <w:szCs w:val="21"/>
          <w:highlight w:val="white"/>
        </w:rPr>
        <w:t>评标委员会对投标人提交的澄清、说明或补正有质疑的，可以要求投标人进一步澄清、说明或补正，直至满足评标委员会的要求。</w:t>
      </w:r>
    </w:p>
    <w:p>
      <w:pPr>
        <w:bidi w:val="0"/>
        <w:outlineLvl w:val="3"/>
        <w:rPr>
          <w:rFonts w:ascii="宋体" w:hAnsi="宋体"/>
          <w:b/>
          <w:sz w:val="24"/>
        </w:rPr>
      </w:pPr>
      <w:r>
        <w:rPr>
          <w:rFonts w:ascii="宋体" w:hAnsi="宋体"/>
          <w:b/>
          <w:sz w:val="24"/>
          <w:highlight w:val="white"/>
        </w:rPr>
        <w:t>2.4</w:t>
      </w:r>
      <w:r>
        <w:rPr>
          <w:rFonts w:hint="eastAsia" w:ascii="宋体" w:hAnsi="宋体"/>
          <w:b/>
          <w:sz w:val="24"/>
          <w:highlight w:val="white"/>
        </w:rPr>
        <w:t>评标结果</w:t>
      </w:r>
    </w:p>
    <w:p>
      <w:pPr>
        <w:bidi w:val="0"/>
        <w:spacing w:line="360" w:lineRule="exact"/>
        <w:ind w:firstLine="359" w:firstLineChars="171"/>
        <w:rPr>
          <w:szCs w:val="21"/>
        </w:rPr>
      </w:pPr>
      <w:r>
        <w:rPr>
          <w:szCs w:val="21"/>
          <w:highlight w:val="white"/>
        </w:rPr>
        <w:t>2.4.1</w:t>
      </w:r>
      <w:r>
        <w:rPr>
          <w:rFonts w:hint="eastAsia"/>
          <w:szCs w:val="21"/>
          <w:highlight w:val="white"/>
        </w:rPr>
        <w:t>评标委员会按照得分由高到低的顺序推荐</w:t>
      </w:r>
      <w:r>
        <w:rPr>
          <w:szCs w:val="21"/>
          <w:highlight w:val="white"/>
        </w:rPr>
        <w:t>1-3</w:t>
      </w:r>
      <w:r>
        <w:rPr>
          <w:rFonts w:hint="eastAsia"/>
          <w:szCs w:val="21"/>
          <w:highlight w:val="white"/>
        </w:rPr>
        <w:t>名中标候选人。</w:t>
      </w:r>
    </w:p>
    <w:p>
      <w:pPr>
        <w:bidi w:val="0"/>
        <w:spacing w:line="360" w:lineRule="exact"/>
        <w:ind w:firstLine="359" w:firstLineChars="171"/>
        <w:rPr>
          <w:szCs w:val="21"/>
        </w:rPr>
      </w:pPr>
      <w:r>
        <w:rPr>
          <w:szCs w:val="21"/>
          <w:highlight w:val="white"/>
        </w:rPr>
        <w:t>2.4.2</w:t>
      </w:r>
      <w:r>
        <w:rPr>
          <w:rFonts w:hint="eastAsia"/>
          <w:szCs w:val="21"/>
          <w:highlight w:val="white"/>
        </w:rPr>
        <w:t>评标委员会完成评标后</w:t>
      </w:r>
      <w:r>
        <w:rPr>
          <w:szCs w:val="21"/>
          <w:highlight w:val="white"/>
        </w:rPr>
        <w:t>，</w:t>
      </w:r>
      <w:r>
        <w:rPr>
          <w:rFonts w:hint="eastAsia"/>
          <w:szCs w:val="21"/>
          <w:highlight w:val="white"/>
        </w:rPr>
        <w:t>应当向招标人提交书面评标报告。</w:t>
      </w:r>
    </w:p>
    <w:p>
      <w:pPr>
        <w:bidi w:val="0"/>
        <w:spacing w:line="360" w:lineRule="exact"/>
        <w:ind w:firstLine="342" w:firstLineChars="171"/>
        <w:rPr>
          <w:rFonts w:hint="eastAsia"/>
          <w:szCs w:val="21"/>
          <w:highlight w:val="magenta"/>
        </w:rPr>
      </w:pPr>
      <w:r>
        <w:rPr>
          <w:color w:val="000080"/>
          <w:sz w:val="20"/>
          <w:szCs w:val="21"/>
          <w:highlight w:val="white"/>
        </w:rPr>
        <w:t xml:space="preserve"> </w:t>
      </w:r>
    </w:p>
    <w:p>
      <w:pPr>
        <w:bidi w:val="0"/>
        <w:spacing w:line="360" w:lineRule="exact"/>
        <w:sectPr>
          <w:pgSz w:w="11907" w:h="16840"/>
          <w:pgMar w:top="1440" w:right="1559" w:bottom="1440" w:left="1560" w:header="851" w:footer="851" w:gutter="0"/>
          <w:cols w:space="720" w:num="1"/>
          <w:docGrid w:linePitch="312" w:charSpace="0"/>
        </w:sectPr>
      </w:pPr>
    </w:p>
    <w:p>
      <w:pPr>
        <w:pStyle w:val="2"/>
        <w:wordWrap w:val="0"/>
        <w:bidi w:val="0"/>
        <w:jc w:val="center"/>
      </w:pPr>
      <w:bookmarkStart w:id="72" w:name="_Toc1614"/>
      <w:r>
        <w:rPr>
          <w:highlight w:val="white"/>
        </w:rPr>
        <w:t>第四章  合同条款及格式</w:t>
      </w:r>
      <w:bookmarkEnd w:id="72"/>
    </w:p>
    <w:p>
      <w:pPr>
        <w:pStyle w:val="8"/>
        <w:wordWrap w:val="0"/>
        <w:bidi w:val="0"/>
        <w:jc w:val="center"/>
        <w:rPr>
          <w:rFonts w:ascii="Times New Roman" w:hAnsi="Times New Roman" w:eastAsia="华文中宋"/>
          <w:b/>
          <w:sz w:val="52"/>
          <w:szCs w:val="52"/>
        </w:rPr>
      </w:pPr>
    </w:p>
    <w:p>
      <w:pPr>
        <w:pStyle w:val="8"/>
        <w:wordWrap w:val="0"/>
        <w:bidi w:val="0"/>
        <w:jc w:val="center"/>
        <w:rPr>
          <w:rFonts w:ascii="Times New Roman" w:hAnsi="Times New Roman" w:eastAsia="华文中宋"/>
          <w:b/>
          <w:sz w:val="52"/>
          <w:szCs w:val="52"/>
        </w:rPr>
      </w:pPr>
    </w:p>
    <w:p>
      <w:pPr>
        <w:pStyle w:val="8"/>
        <w:wordWrap w:val="0"/>
        <w:bidi w:val="0"/>
        <w:jc w:val="center"/>
        <w:rPr>
          <w:rFonts w:ascii="Times New Roman" w:hAnsi="Times New Roman" w:eastAsia="华文中宋"/>
          <w:b/>
          <w:sz w:val="52"/>
          <w:szCs w:val="52"/>
        </w:rPr>
      </w:pPr>
    </w:p>
    <w:p>
      <w:pPr>
        <w:pStyle w:val="8"/>
        <w:wordWrap w:val="0"/>
        <w:bidi w:val="0"/>
        <w:jc w:val="center"/>
        <w:rPr>
          <w:rFonts w:ascii="Times New Roman" w:hAnsi="Times New Roman" w:eastAsia="华文中宋"/>
          <w:b/>
          <w:sz w:val="52"/>
          <w:szCs w:val="52"/>
        </w:rPr>
      </w:pPr>
    </w:p>
    <w:p>
      <w:pPr>
        <w:pStyle w:val="8"/>
        <w:wordWrap w:val="0"/>
        <w:bidi w:val="0"/>
        <w:jc w:val="center"/>
        <w:rPr>
          <w:rFonts w:ascii="Times New Roman" w:hAnsi="Times New Roman" w:eastAsia="华文中宋"/>
          <w:b/>
          <w:sz w:val="52"/>
          <w:szCs w:val="52"/>
        </w:rPr>
      </w:pPr>
      <w:r>
        <w:rPr>
          <w:rFonts w:ascii="Times New Roman" w:hAnsi="Times New Roman" w:eastAsia="华文中宋"/>
          <w:b/>
          <w:sz w:val="72"/>
          <w:szCs w:val="52"/>
          <w:highlight w:val="white"/>
        </w:rPr>
        <w:t>建设工程施工合同</w:t>
      </w:r>
      <w:r>
        <w:rPr>
          <w:rFonts w:ascii="Times New Roman" w:hAnsi="Times New Roman" w:eastAsia="华文中宋"/>
          <w:b/>
          <w:sz w:val="52"/>
          <w:szCs w:val="52"/>
          <w:highlight w:val="white"/>
        </w:rPr>
        <w:br w:type="textWrapping"/>
      </w:r>
      <w:r>
        <w:rPr>
          <w:rFonts w:ascii="Times New Roman" w:hAnsi="Times New Roman" w:eastAsia="华文中宋"/>
          <w:b/>
          <w:sz w:val="52"/>
          <w:szCs w:val="52"/>
          <w:highlight w:val="white"/>
        </w:rPr>
        <w:t>（示范文本）</w:t>
      </w:r>
    </w:p>
    <w:p>
      <w:pPr>
        <w:pStyle w:val="8"/>
        <w:wordWrap w:val="0"/>
        <w:bidi w:val="0"/>
        <w:jc w:val="center"/>
        <w:rPr>
          <w:rFonts w:ascii="Times New Roman" w:hAnsi="Times New Roman" w:eastAsia="华文中宋"/>
          <w:b/>
          <w:sz w:val="52"/>
          <w:szCs w:val="52"/>
        </w:rPr>
      </w:pPr>
    </w:p>
    <w:p>
      <w:pPr>
        <w:pStyle w:val="8"/>
        <w:wordWrap w:val="0"/>
        <w:bidi w:val="0"/>
        <w:jc w:val="center"/>
        <w:rPr>
          <w:rFonts w:ascii="Times New Roman" w:hAnsi="Times New Roman" w:eastAsia="黑体"/>
          <w:b/>
          <w:sz w:val="72"/>
          <w:szCs w:val="72"/>
        </w:rPr>
      </w:pPr>
    </w:p>
    <w:p>
      <w:pPr>
        <w:pStyle w:val="8"/>
        <w:wordWrap w:val="0"/>
        <w:bidi w:val="0"/>
        <w:jc w:val="center"/>
        <w:rPr>
          <w:rFonts w:ascii="Times New Roman" w:hAnsi="Times New Roman" w:eastAsia="楷体_GB2312"/>
          <w:b/>
          <w:sz w:val="72"/>
          <w:szCs w:val="72"/>
        </w:rPr>
      </w:pPr>
    </w:p>
    <w:p>
      <w:pPr>
        <w:pStyle w:val="8"/>
        <w:wordWrap w:val="0"/>
        <w:bidi w:val="0"/>
        <w:jc w:val="center"/>
        <w:rPr>
          <w:rFonts w:ascii="Times New Roman" w:hAnsi="Times New Roman" w:eastAsia="黑体"/>
          <w:b/>
          <w:sz w:val="52"/>
          <w:szCs w:val="52"/>
        </w:rPr>
      </w:pPr>
    </w:p>
    <w:p>
      <w:pPr>
        <w:pStyle w:val="8"/>
        <w:wordWrap w:val="0"/>
        <w:bidi w:val="0"/>
        <w:rPr>
          <w:rFonts w:ascii="Times New Roman" w:hAnsi="Times New Roman"/>
          <w:b/>
          <w:sz w:val="28"/>
          <w:szCs w:val="28"/>
        </w:rPr>
      </w:pPr>
    </w:p>
    <w:p>
      <w:pPr>
        <w:pStyle w:val="8"/>
        <w:wordWrap w:val="0"/>
        <w:bidi w:val="0"/>
        <w:rPr>
          <w:rFonts w:ascii="Times New Roman" w:hAnsi="Times New Roman"/>
          <w:b/>
          <w:sz w:val="28"/>
          <w:szCs w:val="28"/>
        </w:rPr>
      </w:pPr>
    </w:p>
    <w:p>
      <w:pPr>
        <w:pStyle w:val="8"/>
        <w:wordWrap w:val="0"/>
        <w:bidi w:val="0"/>
        <w:rPr>
          <w:rFonts w:ascii="Times New Roman" w:hAnsi="Times New Roman"/>
          <w:b/>
          <w:sz w:val="28"/>
          <w:szCs w:val="28"/>
        </w:rPr>
      </w:pPr>
    </w:p>
    <w:p>
      <w:pPr>
        <w:bidi w:val="0"/>
        <w:rPr>
          <w:highlight w:val="red"/>
        </w:rPr>
      </w:pPr>
      <w:r>
        <w:rPr>
          <w:highlight w:val="white"/>
        </w:rPr>
        <w:br w:type="page"/>
      </w:r>
    </w:p>
    <w:p>
      <w:pPr>
        <w:pStyle w:val="20"/>
        <w:bidi w:val="0"/>
        <w:spacing w:line="360" w:lineRule="exact"/>
        <w:jc w:val="left"/>
        <w:rPr>
          <w:rStyle w:val="14"/>
          <w:rFonts w:hint="eastAsia" w:ascii="仿宋" w:hAnsi="仿宋" w:eastAsia="仿宋"/>
          <w:bCs/>
          <w:color w:val="000000"/>
          <w:sz w:val="32"/>
          <w:szCs w:val="32"/>
        </w:rPr>
      </w:pPr>
    </w:p>
    <w:p>
      <w:pPr>
        <w:pStyle w:val="20"/>
        <w:bidi w:val="0"/>
        <w:spacing w:line="360" w:lineRule="exact"/>
        <w:jc w:val="left"/>
        <w:rPr>
          <w:rStyle w:val="14"/>
          <w:rFonts w:hint="eastAsia" w:ascii="仿宋" w:hAnsi="仿宋" w:eastAsia="仿宋"/>
          <w:bCs/>
          <w:color w:val="000000"/>
          <w:sz w:val="32"/>
          <w:szCs w:val="32"/>
        </w:rPr>
      </w:pPr>
    </w:p>
    <w:p>
      <w:pPr>
        <w:pStyle w:val="20"/>
        <w:bidi w:val="0"/>
        <w:spacing w:line="360" w:lineRule="exact"/>
        <w:jc w:val="left"/>
        <w:rPr>
          <w:rStyle w:val="14"/>
          <w:rFonts w:hint="eastAsia" w:ascii="仿宋" w:hAnsi="仿宋" w:eastAsia="仿宋"/>
          <w:bCs/>
          <w:color w:val="000000"/>
          <w:sz w:val="32"/>
          <w:szCs w:val="32"/>
        </w:rPr>
      </w:pPr>
    </w:p>
    <w:p>
      <w:pPr>
        <w:pStyle w:val="20"/>
        <w:bidi w:val="0"/>
        <w:spacing w:line="360" w:lineRule="exact"/>
        <w:jc w:val="left"/>
        <w:rPr>
          <w:rStyle w:val="14"/>
          <w:rFonts w:hint="eastAsia" w:ascii="仿宋" w:hAnsi="仿宋" w:eastAsia="仿宋"/>
          <w:bCs/>
          <w:color w:val="000000"/>
          <w:sz w:val="32"/>
          <w:szCs w:val="32"/>
        </w:rPr>
      </w:pPr>
    </w:p>
    <w:p>
      <w:pPr>
        <w:pStyle w:val="20"/>
        <w:bidi w:val="0"/>
        <w:spacing w:line="360" w:lineRule="exact"/>
        <w:jc w:val="left"/>
        <w:rPr>
          <w:rStyle w:val="14"/>
          <w:rFonts w:hint="eastAsia" w:ascii="仿宋" w:hAnsi="仿宋" w:eastAsia="仿宋"/>
          <w:bCs/>
          <w:color w:val="000000"/>
          <w:sz w:val="32"/>
          <w:szCs w:val="32"/>
        </w:rPr>
      </w:pPr>
    </w:p>
    <w:p>
      <w:pPr>
        <w:pStyle w:val="20"/>
        <w:bidi w:val="0"/>
        <w:spacing w:line="360" w:lineRule="exact"/>
        <w:jc w:val="left"/>
        <w:rPr>
          <w:rStyle w:val="14"/>
          <w:rFonts w:hint="eastAsia" w:ascii="仿宋" w:hAnsi="仿宋" w:eastAsia="仿宋"/>
          <w:bCs/>
          <w:color w:val="000000"/>
          <w:sz w:val="32"/>
          <w:szCs w:val="32"/>
        </w:rPr>
      </w:pPr>
    </w:p>
    <w:p>
      <w:pPr>
        <w:pStyle w:val="20"/>
        <w:bidi w:val="0"/>
        <w:spacing w:line="360" w:lineRule="exact"/>
        <w:jc w:val="left"/>
        <w:rPr>
          <w:rStyle w:val="14"/>
          <w:rFonts w:hint="eastAsia" w:ascii="仿宋" w:hAnsi="仿宋" w:eastAsia="仿宋"/>
          <w:bCs/>
          <w:color w:val="000000"/>
          <w:sz w:val="32"/>
          <w:szCs w:val="32"/>
        </w:rPr>
      </w:pPr>
    </w:p>
    <w:p>
      <w:pPr>
        <w:pStyle w:val="20"/>
        <w:bidi w:val="0"/>
        <w:spacing w:line="360" w:lineRule="exact"/>
        <w:jc w:val="left"/>
        <w:rPr>
          <w:rStyle w:val="14"/>
          <w:rFonts w:hint="eastAsia" w:ascii="仿宋" w:hAnsi="仿宋" w:eastAsia="仿宋"/>
          <w:bCs/>
          <w:color w:val="000000"/>
          <w:sz w:val="32"/>
          <w:szCs w:val="32"/>
        </w:rPr>
      </w:pPr>
    </w:p>
    <w:p>
      <w:pPr>
        <w:pStyle w:val="20"/>
        <w:bidi w:val="0"/>
        <w:spacing w:line="360" w:lineRule="exact"/>
        <w:jc w:val="left"/>
        <w:rPr>
          <w:rStyle w:val="14"/>
          <w:rFonts w:hint="eastAsia" w:ascii="仿宋" w:hAnsi="仿宋" w:eastAsia="仿宋"/>
          <w:bCs/>
          <w:color w:val="000000"/>
          <w:sz w:val="32"/>
          <w:szCs w:val="32"/>
        </w:rPr>
      </w:pPr>
      <w:r>
        <w:rPr>
          <w:rStyle w:val="14"/>
          <w:rFonts w:hint="eastAsia" w:ascii="仿宋" w:hAnsi="仿宋" w:eastAsia="仿宋"/>
          <w:bCs/>
          <w:color w:val="000000"/>
          <w:sz w:val="32"/>
          <w:szCs w:val="32"/>
        </w:rPr>
        <w:t>合同编号：</w:t>
      </w:r>
    </w:p>
    <w:p>
      <w:pPr>
        <w:pStyle w:val="20"/>
        <w:bidi w:val="0"/>
        <w:spacing w:line="360" w:lineRule="exact"/>
        <w:jc w:val="left"/>
        <w:rPr>
          <w:rStyle w:val="14"/>
          <w:rFonts w:ascii="仿宋" w:hAnsi="仿宋" w:eastAsia="仿宋"/>
          <w:bCs/>
          <w:color w:val="000000"/>
          <w:sz w:val="32"/>
          <w:szCs w:val="32"/>
        </w:rPr>
      </w:pPr>
      <w:r>
        <w:rPr>
          <w:rStyle w:val="14"/>
          <w:rFonts w:hint="eastAsia" w:ascii="仿宋" w:hAnsi="仿宋" w:eastAsia="仿宋"/>
          <w:bCs/>
          <w:color w:val="000000"/>
          <w:sz w:val="32"/>
          <w:szCs w:val="32"/>
        </w:rPr>
        <w:t>内审号：</w:t>
      </w:r>
    </w:p>
    <w:p>
      <w:pPr>
        <w:pStyle w:val="20"/>
        <w:bidi w:val="0"/>
        <w:spacing w:line="360" w:lineRule="exact"/>
        <w:jc w:val="center"/>
        <w:rPr>
          <w:rStyle w:val="14"/>
          <w:rFonts w:ascii="仿宋" w:hAnsi="仿宋" w:eastAsia="仿宋"/>
          <w:b/>
          <w:color w:val="000000"/>
          <w:sz w:val="52"/>
          <w:szCs w:val="52"/>
        </w:rPr>
      </w:pPr>
    </w:p>
    <w:p>
      <w:pPr>
        <w:pStyle w:val="20"/>
        <w:bidi w:val="0"/>
        <w:spacing w:line="360" w:lineRule="exact"/>
        <w:jc w:val="center"/>
        <w:rPr>
          <w:rStyle w:val="14"/>
          <w:rFonts w:ascii="仿宋" w:hAnsi="仿宋" w:eastAsia="仿宋"/>
          <w:b/>
          <w:color w:val="000000"/>
          <w:sz w:val="52"/>
          <w:szCs w:val="52"/>
        </w:rPr>
      </w:pPr>
    </w:p>
    <w:p>
      <w:pPr>
        <w:pStyle w:val="20"/>
        <w:bidi w:val="0"/>
        <w:spacing w:line="360" w:lineRule="exact"/>
        <w:jc w:val="center"/>
        <w:rPr>
          <w:rStyle w:val="14"/>
          <w:rFonts w:ascii="仿宋" w:hAnsi="仿宋" w:eastAsia="仿宋"/>
          <w:b/>
          <w:color w:val="000000"/>
          <w:sz w:val="52"/>
          <w:szCs w:val="52"/>
        </w:rPr>
      </w:pPr>
    </w:p>
    <w:p>
      <w:pPr>
        <w:pStyle w:val="20"/>
        <w:bidi w:val="0"/>
        <w:jc w:val="center"/>
        <w:rPr>
          <w:rStyle w:val="14"/>
          <w:rFonts w:hint="eastAsia" w:ascii="仿宋" w:hAnsi="仿宋" w:eastAsia="仿宋"/>
          <w:b/>
          <w:color w:val="000000"/>
          <w:sz w:val="32"/>
          <w:szCs w:val="32"/>
          <w:lang w:eastAsia="zh-CN"/>
        </w:rPr>
      </w:pPr>
      <w:r>
        <w:rPr>
          <w:rStyle w:val="14"/>
          <w:rFonts w:hint="eastAsia" w:ascii="仿宋" w:hAnsi="仿宋" w:eastAsia="仿宋"/>
          <w:b/>
          <w:color w:val="000000"/>
          <w:sz w:val="32"/>
          <w:szCs w:val="32"/>
          <w:lang w:eastAsia="zh-CN"/>
        </w:rPr>
        <w:t>宿迁市第一人民医院综合楼大厅干挂壁瓷砖改造及感染楼干挂壁瓷砖加固工程</w:t>
      </w:r>
    </w:p>
    <w:p>
      <w:pPr>
        <w:pStyle w:val="20"/>
        <w:bidi w:val="0"/>
        <w:spacing w:line="360" w:lineRule="exact"/>
        <w:rPr>
          <w:rStyle w:val="14"/>
          <w:rFonts w:ascii="仿宋" w:hAnsi="仿宋" w:eastAsia="仿宋"/>
          <w:b/>
          <w:color w:val="000000"/>
          <w:sz w:val="52"/>
          <w:szCs w:val="52"/>
        </w:rPr>
      </w:pPr>
    </w:p>
    <w:p>
      <w:pPr>
        <w:pStyle w:val="20"/>
        <w:bidi w:val="0"/>
        <w:jc w:val="center"/>
        <w:rPr>
          <w:rStyle w:val="14"/>
          <w:rFonts w:ascii="仿宋" w:hAnsi="仿宋" w:eastAsia="仿宋"/>
          <w:b/>
          <w:color w:val="000000"/>
          <w:sz w:val="32"/>
          <w:szCs w:val="32"/>
        </w:rPr>
      </w:pPr>
      <w:r>
        <w:rPr>
          <w:rStyle w:val="14"/>
          <w:rFonts w:hint="eastAsia" w:ascii="仿宋" w:hAnsi="仿宋" w:eastAsia="仿宋"/>
          <w:b/>
          <w:color w:val="000000"/>
          <w:sz w:val="32"/>
          <w:szCs w:val="32"/>
        </w:rPr>
        <w:t>建设工程施工合同</w:t>
      </w:r>
      <w:r>
        <w:rPr>
          <w:rStyle w:val="14"/>
          <w:rFonts w:ascii="仿宋" w:hAnsi="仿宋" w:eastAsia="仿宋"/>
          <w:b/>
          <w:color w:val="000000"/>
          <w:sz w:val="32"/>
          <w:szCs w:val="32"/>
        </w:rPr>
        <w:br w:type="textWrapping"/>
      </w:r>
    </w:p>
    <w:p>
      <w:pPr>
        <w:pStyle w:val="20"/>
        <w:bidi w:val="0"/>
        <w:spacing w:line="360" w:lineRule="exact"/>
        <w:jc w:val="center"/>
        <w:rPr>
          <w:rStyle w:val="14"/>
          <w:rFonts w:ascii="仿宋" w:hAnsi="仿宋" w:eastAsia="仿宋"/>
          <w:b/>
          <w:color w:val="000000"/>
          <w:sz w:val="52"/>
          <w:szCs w:val="52"/>
        </w:rPr>
      </w:pPr>
    </w:p>
    <w:p>
      <w:pPr>
        <w:pStyle w:val="20"/>
        <w:bidi w:val="0"/>
        <w:spacing w:line="360" w:lineRule="exact"/>
        <w:jc w:val="center"/>
        <w:rPr>
          <w:rStyle w:val="14"/>
          <w:rFonts w:ascii="仿宋" w:hAnsi="仿宋" w:eastAsia="仿宋"/>
          <w:b/>
          <w:color w:val="000000"/>
          <w:sz w:val="72"/>
          <w:szCs w:val="72"/>
        </w:rPr>
      </w:pPr>
    </w:p>
    <w:p>
      <w:pPr>
        <w:pStyle w:val="20"/>
        <w:bidi w:val="0"/>
        <w:spacing w:line="360" w:lineRule="exact"/>
        <w:jc w:val="center"/>
        <w:rPr>
          <w:rStyle w:val="14"/>
          <w:rFonts w:ascii="仿宋" w:hAnsi="仿宋" w:eastAsia="仿宋"/>
          <w:b/>
          <w:color w:val="000000"/>
          <w:sz w:val="72"/>
          <w:szCs w:val="72"/>
        </w:rPr>
      </w:pPr>
    </w:p>
    <w:p>
      <w:pPr>
        <w:pStyle w:val="20"/>
        <w:bidi w:val="0"/>
        <w:spacing w:line="360" w:lineRule="exact"/>
        <w:jc w:val="center"/>
        <w:rPr>
          <w:rStyle w:val="14"/>
          <w:rFonts w:ascii="仿宋" w:hAnsi="仿宋" w:eastAsia="仿宋"/>
          <w:b/>
          <w:color w:val="000000"/>
          <w:sz w:val="52"/>
          <w:szCs w:val="52"/>
        </w:rPr>
      </w:pPr>
    </w:p>
    <w:p>
      <w:pPr>
        <w:pStyle w:val="20"/>
        <w:bidi w:val="0"/>
        <w:spacing w:line="360" w:lineRule="exact"/>
        <w:rPr>
          <w:rStyle w:val="14"/>
          <w:rFonts w:ascii="仿宋" w:hAnsi="仿宋" w:eastAsia="仿宋"/>
          <w:b/>
          <w:color w:val="000000"/>
          <w:sz w:val="28"/>
          <w:szCs w:val="28"/>
        </w:rPr>
      </w:pPr>
    </w:p>
    <w:p>
      <w:pPr>
        <w:pStyle w:val="20"/>
        <w:bidi w:val="0"/>
        <w:spacing w:line="360" w:lineRule="exact"/>
        <w:rPr>
          <w:rStyle w:val="14"/>
          <w:rFonts w:ascii="仿宋" w:hAnsi="仿宋" w:eastAsia="仿宋"/>
          <w:b/>
          <w:color w:val="000000"/>
          <w:sz w:val="28"/>
          <w:szCs w:val="28"/>
        </w:rPr>
      </w:pPr>
    </w:p>
    <w:p>
      <w:pPr>
        <w:pStyle w:val="20"/>
        <w:bidi w:val="0"/>
        <w:spacing w:line="360" w:lineRule="exact"/>
        <w:rPr>
          <w:rStyle w:val="14"/>
          <w:rFonts w:ascii="仿宋" w:hAnsi="仿宋" w:eastAsia="仿宋"/>
          <w:b/>
          <w:color w:val="000000"/>
          <w:sz w:val="28"/>
          <w:szCs w:val="28"/>
        </w:rPr>
      </w:pPr>
    </w:p>
    <w:p>
      <w:pPr>
        <w:pStyle w:val="20"/>
        <w:bidi w:val="0"/>
        <w:spacing w:line="360" w:lineRule="exact"/>
        <w:rPr>
          <w:rStyle w:val="14"/>
          <w:rFonts w:ascii="仿宋" w:hAnsi="仿宋" w:eastAsia="仿宋"/>
          <w:b/>
          <w:color w:val="000000"/>
          <w:sz w:val="28"/>
          <w:szCs w:val="28"/>
        </w:rPr>
      </w:pPr>
    </w:p>
    <w:p>
      <w:pPr>
        <w:pStyle w:val="20"/>
        <w:bidi w:val="0"/>
        <w:spacing w:line="360" w:lineRule="exact"/>
        <w:rPr>
          <w:rStyle w:val="14"/>
          <w:rFonts w:ascii="仿宋" w:hAnsi="仿宋" w:eastAsia="仿宋"/>
          <w:b/>
          <w:color w:val="000000"/>
          <w:sz w:val="28"/>
          <w:szCs w:val="28"/>
        </w:rPr>
      </w:pPr>
    </w:p>
    <w:p>
      <w:pPr>
        <w:pStyle w:val="20"/>
        <w:bidi w:val="0"/>
        <w:spacing w:line="360" w:lineRule="exact"/>
        <w:rPr>
          <w:rStyle w:val="14"/>
          <w:rFonts w:ascii="仿宋" w:hAnsi="仿宋" w:eastAsia="仿宋"/>
          <w:b/>
          <w:color w:val="000000"/>
          <w:sz w:val="28"/>
          <w:szCs w:val="28"/>
        </w:rPr>
      </w:pPr>
    </w:p>
    <w:p>
      <w:pPr>
        <w:pStyle w:val="20"/>
        <w:bidi w:val="0"/>
        <w:spacing w:line="360" w:lineRule="exact"/>
        <w:rPr>
          <w:rStyle w:val="14"/>
          <w:rFonts w:ascii="仿宋" w:hAnsi="仿宋" w:eastAsia="仿宋"/>
          <w:b/>
          <w:color w:val="000000"/>
          <w:sz w:val="28"/>
          <w:szCs w:val="28"/>
        </w:rPr>
      </w:pPr>
    </w:p>
    <w:p>
      <w:pPr>
        <w:pStyle w:val="20"/>
        <w:bidi w:val="0"/>
        <w:spacing w:line="360" w:lineRule="exact"/>
        <w:rPr>
          <w:rStyle w:val="14"/>
          <w:rFonts w:ascii="仿宋" w:hAnsi="仿宋" w:eastAsia="仿宋"/>
          <w:b/>
          <w:color w:val="000000"/>
          <w:sz w:val="28"/>
          <w:szCs w:val="28"/>
        </w:rPr>
      </w:pPr>
    </w:p>
    <w:p>
      <w:pPr>
        <w:pStyle w:val="20"/>
        <w:bidi w:val="0"/>
        <w:spacing w:line="360" w:lineRule="exact"/>
        <w:rPr>
          <w:rStyle w:val="14"/>
          <w:rFonts w:ascii="仿宋" w:hAnsi="仿宋" w:eastAsia="仿宋"/>
          <w:b/>
          <w:color w:val="000000"/>
          <w:sz w:val="28"/>
          <w:szCs w:val="28"/>
        </w:rPr>
      </w:pPr>
    </w:p>
    <w:tbl>
      <w:tblPr>
        <w:tblStyle w:val="13"/>
        <w:tblW w:w="0" w:type="auto"/>
        <w:jc w:val="center"/>
        <w:tblLayout w:type="fixed"/>
        <w:tblCellMar>
          <w:top w:w="0" w:type="dxa"/>
          <w:left w:w="108" w:type="dxa"/>
          <w:bottom w:w="0" w:type="dxa"/>
          <w:right w:w="108" w:type="dxa"/>
        </w:tblCellMar>
      </w:tblPr>
      <w:tblGrid>
        <w:gridCol w:w="3518"/>
        <w:gridCol w:w="1276"/>
      </w:tblGrid>
      <w:tr>
        <w:tblPrEx>
          <w:tblCellMar>
            <w:top w:w="0" w:type="dxa"/>
            <w:left w:w="108" w:type="dxa"/>
            <w:bottom w:w="0" w:type="dxa"/>
            <w:right w:w="108" w:type="dxa"/>
          </w:tblCellMar>
        </w:tblPrEx>
        <w:trPr>
          <w:jc w:val="center"/>
        </w:trPr>
        <w:tc>
          <w:tcPr>
            <w:tcW w:w="3518" w:type="dxa"/>
            <w:noWrap w:val="0"/>
            <w:vAlign w:val="top"/>
          </w:tcPr>
          <w:p>
            <w:pPr>
              <w:pStyle w:val="20"/>
              <w:widowControl w:val="0"/>
              <w:bidi w:val="0"/>
              <w:jc w:val="both"/>
              <w:rPr>
                <w:rStyle w:val="14"/>
                <w:rFonts w:ascii="宋体" w:hAnsi="宋体" w:eastAsia="宋体" w:cs="Times New Roman"/>
                <w:color w:val="000000"/>
                <w:sz w:val="32"/>
                <w:szCs w:val="32"/>
                <w:lang w:val="en-US" w:eastAsia="zh-CN" w:bidi="ar-SA"/>
              </w:rPr>
            </w:pPr>
            <w:r>
              <w:rPr>
                <w:rStyle w:val="14"/>
                <w:rFonts w:hint="eastAsia" w:ascii="宋体" w:hAnsi="宋体" w:eastAsia="宋体" w:cs="Times New Roman"/>
                <w:color w:val="000000"/>
                <w:sz w:val="32"/>
                <w:szCs w:val="32"/>
                <w:lang w:val="en-US" w:eastAsia="zh-CN" w:bidi="ar-SA"/>
              </w:rPr>
              <w:t>住 房 城 乡 建 设 部</w:t>
            </w:r>
          </w:p>
        </w:tc>
        <w:tc>
          <w:tcPr>
            <w:tcW w:w="1276" w:type="dxa"/>
            <w:vMerge w:val="restart"/>
            <w:noWrap w:val="0"/>
            <w:vAlign w:val="center"/>
          </w:tcPr>
          <w:p>
            <w:pPr>
              <w:pStyle w:val="20"/>
              <w:widowControl w:val="0"/>
              <w:bidi w:val="0"/>
              <w:jc w:val="center"/>
              <w:rPr>
                <w:rStyle w:val="14"/>
                <w:rFonts w:ascii="宋体" w:hAnsi="宋体" w:eastAsia="宋体" w:cs="Times New Roman"/>
                <w:color w:val="000000"/>
                <w:sz w:val="32"/>
                <w:szCs w:val="32"/>
                <w:lang w:val="en-US" w:eastAsia="zh-CN" w:bidi="ar-SA"/>
              </w:rPr>
            </w:pPr>
            <w:r>
              <w:rPr>
                <w:rStyle w:val="14"/>
                <w:rFonts w:hint="eastAsia" w:ascii="宋体" w:hAnsi="宋体" w:eastAsia="宋体" w:cs="Times New Roman"/>
                <w:color w:val="000000"/>
                <w:sz w:val="32"/>
                <w:szCs w:val="32"/>
                <w:lang w:val="en-US" w:eastAsia="zh-CN" w:bidi="ar-SA"/>
              </w:rPr>
              <w:t>制定</w:t>
            </w:r>
          </w:p>
        </w:tc>
      </w:tr>
      <w:tr>
        <w:tblPrEx>
          <w:tblCellMar>
            <w:top w:w="0" w:type="dxa"/>
            <w:left w:w="108" w:type="dxa"/>
            <w:bottom w:w="0" w:type="dxa"/>
            <w:right w:w="108" w:type="dxa"/>
          </w:tblCellMar>
        </w:tblPrEx>
        <w:trPr>
          <w:jc w:val="center"/>
        </w:trPr>
        <w:tc>
          <w:tcPr>
            <w:tcW w:w="3518" w:type="dxa"/>
            <w:noWrap w:val="0"/>
            <w:vAlign w:val="top"/>
          </w:tcPr>
          <w:p>
            <w:pPr>
              <w:pStyle w:val="20"/>
              <w:widowControl w:val="0"/>
              <w:bidi w:val="0"/>
              <w:jc w:val="both"/>
              <w:rPr>
                <w:rStyle w:val="14"/>
                <w:rFonts w:ascii="宋体" w:hAnsi="宋体" w:eastAsia="宋体" w:cs="Times New Roman"/>
                <w:color w:val="000000"/>
                <w:sz w:val="32"/>
                <w:szCs w:val="32"/>
                <w:lang w:val="en-US" w:eastAsia="zh-CN" w:bidi="ar-SA"/>
              </w:rPr>
            </w:pPr>
            <w:r>
              <w:rPr>
                <w:rStyle w:val="14"/>
                <w:rFonts w:hint="eastAsia" w:ascii="宋体" w:hAnsi="宋体" w:eastAsia="宋体" w:cs="Times New Roman"/>
                <w:color w:val="000000"/>
                <w:sz w:val="32"/>
                <w:szCs w:val="32"/>
                <w:lang w:val="en-US" w:eastAsia="zh-CN" w:bidi="ar-SA"/>
              </w:rPr>
              <w:t>国家工商行政管理总局</w:t>
            </w:r>
          </w:p>
        </w:tc>
        <w:tc>
          <w:tcPr>
            <w:tcW w:w="1276" w:type="dxa"/>
            <w:vMerge w:val="continue"/>
            <w:noWrap w:val="0"/>
            <w:vAlign w:val="top"/>
          </w:tcPr>
          <w:p>
            <w:pPr>
              <w:pStyle w:val="20"/>
              <w:widowControl w:val="0"/>
              <w:bidi w:val="0"/>
              <w:jc w:val="both"/>
              <w:rPr>
                <w:rStyle w:val="14"/>
                <w:rFonts w:ascii="宋体" w:hAnsi="宋体" w:eastAsia="宋体" w:cs="Times New Roman"/>
                <w:color w:val="000000"/>
                <w:sz w:val="32"/>
                <w:szCs w:val="32"/>
                <w:lang w:val="en-US" w:eastAsia="zh-CN" w:bidi="ar-SA"/>
              </w:rPr>
            </w:pPr>
          </w:p>
        </w:tc>
      </w:tr>
    </w:tbl>
    <w:p>
      <w:pPr>
        <w:pStyle w:val="20"/>
        <w:bidi w:val="0"/>
        <w:rPr>
          <w:rStyle w:val="14"/>
          <w:rFonts w:ascii="仿宋" w:hAnsi="仿宋" w:eastAsia="仿宋"/>
          <w:b/>
          <w:color w:val="000000"/>
        </w:rPr>
      </w:pPr>
    </w:p>
    <w:p>
      <w:pPr>
        <w:pStyle w:val="20"/>
        <w:bidi w:val="0"/>
        <w:rPr>
          <w:rStyle w:val="14"/>
          <w:rFonts w:ascii="仿宋" w:hAnsi="仿宋" w:eastAsia="仿宋"/>
          <w:color w:val="000000"/>
        </w:rPr>
      </w:pPr>
      <w:bookmarkStart w:id="73" w:name="_Toc296503025"/>
      <w:bookmarkStart w:id="74" w:name="_Toc296890982"/>
      <w:bookmarkStart w:id="75" w:name="_Toc351203480"/>
    </w:p>
    <w:bookmarkEnd w:id="73"/>
    <w:bookmarkEnd w:id="74"/>
    <w:bookmarkEnd w:id="75"/>
    <w:p>
      <w:pPr>
        <w:pStyle w:val="20"/>
        <w:bidi w:val="0"/>
        <w:spacing w:line="500" w:lineRule="exact"/>
        <w:rPr>
          <w:rStyle w:val="14"/>
          <w:rFonts w:ascii="宋体" w:hAnsi="宋体" w:cs="宋体"/>
          <w:b/>
          <w:color w:val="000000"/>
          <w:sz w:val="24"/>
          <w:szCs w:val="24"/>
        </w:rPr>
      </w:pPr>
    </w:p>
    <w:p>
      <w:pPr>
        <w:pStyle w:val="20"/>
        <w:bidi w:val="0"/>
        <w:spacing w:line="500" w:lineRule="exact"/>
        <w:rPr>
          <w:rStyle w:val="14"/>
          <w:rFonts w:ascii="宋体" w:hAnsi="宋体" w:cs="宋体"/>
          <w:b/>
          <w:color w:val="000000"/>
          <w:sz w:val="24"/>
          <w:szCs w:val="24"/>
        </w:rPr>
      </w:pPr>
    </w:p>
    <w:p>
      <w:pPr>
        <w:pStyle w:val="20"/>
        <w:bidi w:val="0"/>
        <w:spacing w:line="500" w:lineRule="exact"/>
        <w:rPr>
          <w:rStyle w:val="14"/>
          <w:rFonts w:ascii="宋体" w:hAnsi="宋体" w:cs="宋体"/>
          <w:b/>
          <w:color w:val="000000"/>
          <w:sz w:val="24"/>
          <w:szCs w:val="24"/>
          <w:u w:val="single"/>
        </w:rPr>
      </w:pPr>
      <w:r>
        <w:rPr>
          <w:rStyle w:val="14"/>
          <w:rFonts w:hint="eastAsia" w:ascii="宋体" w:hAnsi="宋体" w:cs="宋体"/>
          <w:b/>
          <w:color w:val="000000"/>
          <w:sz w:val="24"/>
          <w:szCs w:val="24"/>
        </w:rPr>
        <w:t>发包人（全称）：</w:t>
      </w:r>
      <w:r>
        <w:rPr>
          <w:rStyle w:val="14"/>
          <w:rFonts w:hint="eastAsia" w:ascii="宋体" w:hAnsi="宋体" w:cs="宋体"/>
          <w:b/>
          <w:color w:val="000000"/>
          <w:sz w:val="24"/>
          <w:szCs w:val="24"/>
          <w:u w:val="single"/>
        </w:rPr>
        <w:t xml:space="preserve">宿迁市第一人民医院 </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b/>
          <w:color w:val="000000"/>
          <w:sz w:val="24"/>
          <w:szCs w:val="24"/>
        </w:rPr>
        <w:t>承包人（全称）：</w:t>
      </w:r>
      <w:r>
        <w:rPr>
          <w:rStyle w:val="14"/>
          <w:rFonts w:hint="eastAsia" w:ascii="宋体" w:hAnsi="宋体" w:cs="宋体"/>
          <w:b/>
          <w:color w:val="000000"/>
          <w:sz w:val="24"/>
          <w:szCs w:val="24"/>
          <w:u w:val="single"/>
        </w:rPr>
        <w:t xml:space="preserve"> </w:t>
      </w:r>
      <w:r>
        <w:rPr>
          <w:rStyle w:val="14"/>
          <w:rFonts w:hint="eastAsia" w:ascii="宋体" w:hAnsi="宋体" w:cs="宋体"/>
          <w:b/>
          <w:color w:val="000000"/>
          <w:sz w:val="24"/>
          <w:szCs w:val="24"/>
          <w:u w:val="single"/>
          <w:lang w:val="en-US" w:eastAsia="zh-CN"/>
        </w:rPr>
        <w:t xml:space="preserve">                      </w:t>
      </w:r>
      <w:r>
        <w:rPr>
          <w:rStyle w:val="14"/>
          <w:rFonts w:hint="eastAsia" w:ascii="宋体" w:hAnsi="宋体" w:cs="宋体"/>
          <w:b/>
          <w:color w:val="000000"/>
          <w:sz w:val="24"/>
          <w:szCs w:val="24"/>
          <w:u w:val="single"/>
        </w:rPr>
        <w:t xml:space="preserve">                  </w:t>
      </w:r>
    </w:p>
    <w:p>
      <w:pPr>
        <w:pStyle w:val="20"/>
        <w:bidi w:val="0"/>
        <w:spacing w:line="500" w:lineRule="exact"/>
        <w:ind w:firstLine="420"/>
        <w:rPr>
          <w:rStyle w:val="14"/>
          <w:rFonts w:ascii="宋体" w:hAnsi="宋体" w:cs="宋体"/>
          <w:color w:val="000000"/>
          <w:sz w:val="24"/>
          <w:szCs w:val="24"/>
        </w:rPr>
      </w:pPr>
      <w:r>
        <w:rPr>
          <w:rStyle w:val="14"/>
          <w:rFonts w:hint="eastAsia" w:ascii="宋体" w:hAnsi="宋体" w:cs="宋体"/>
          <w:color w:val="000000"/>
          <w:sz w:val="24"/>
          <w:szCs w:val="24"/>
        </w:rPr>
        <w:t>根据《中华人民共和国民法典》、《中华人民共和国建筑法》及有关法律规定，遵循平等、自愿、公平和诚实信用的原则，双方</w:t>
      </w:r>
      <w:r>
        <w:rPr>
          <w:rStyle w:val="14"/>
          <w:rFonts w:hint="eastAsia" w:ascii="宋体" w:hAnsi="宋体" w:cs="宋体"/>
          <w:color w:val="000000"/>
          <w:sz w:val="24"/>
          <w:szCs w:val="24"/>
          <w:u w:val="single"/>
          <w:lang w:eastAsia="zh-CN"/>
        </w:rPr>
        <w:t>宿迁市第一人民医院综合楼大厅干挂壁瓷砖改造及感染楼干挂壁瓷砖加固工程</w:t>
      </w:r>
      <w:r>
        <w:rPr>
          <w:rStyle w:val="14"/>
          <w:rFonts w:hint="eastAsia" w:ascii="宋体" w:hAnsi="宋体" w:cs="宋体"/>
          <w:color w:val="000000"/>
          <w:sz w:val="24"/>
          <w:szCs w:val="24"/>
        </w:rPr>
        <w:t>施工及有关事项协商一致，共同达成如下协议：</w:t>
      </w:r>
    </w:p>
    <w:p>
      <w:pPr>
        <w:pStyle w:val="20"/>
        <w:bidi w:val="0"/>
        <w:spacing w:line="500" w:lineRule="exact"/>
        <w:rPr>
          <w:rStyle w:val="14"/>
          <w:rFonts w:ascii="宋体" w:hAnsi="宋体" w:cs="宋体"/>
          <w:b/>
          <w:color w:val="000000"/>
          <w:sz w:val="24"/>
          <w:szCs w:val="24"/>
        </w:rPr>
      </w:pPr>
      <w:bookmarkStart w:id="76" w:name="_Toc351203481"/>
      <w:r>
        <w:rPr>
          <w:rStyle w:val="14"/>
          <w:rFonts w:hint="eastAsia" w:ascii="宋体" w:hAnsi="宋体" w:cs="宋体"/>
          <w:b/>
          <w:color w:val="000000"/>
          <w:sz w:val="24"/>
          <w:szCs w:val="24"/>
        </w:rPr>
        <w:t>一、 工程概况</w:t>
      </w:r>
      <w:bookmarkEnd w:id="76"/>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1.工程名称：</w:t>
      </w:r>
      <w:r>
        <w:rPr>
          <w:rStyle w:val="14"/>
          <w:rFonts w:hint="eastAsia" w:ascii="宋体" w:hAnsi="宋体" w:cs="宋体"/>
          <w:color w:val="000000"/>
          <w:sz w:val="24"/>
          <w:szCs w:val="24"/>
          <w:u w:val="single"/>
          <w:lang w:eastAsia="zh-CN"/>
        </w:rPr>
        <w:t>宿迁市第一人民医院综合楼大厅干挂壁瓷砖改造及感染楼干挂壁瓷砖加固工程</w:t>
      </w:r>
      <w:r>
        <w:rPr>
          <w:rStyle w:val="14"/>
          <w:rFonts w:hint="eastAsia" w:ascii="宋体" w:hAnsi="宋体" w:cs="宋体"/>
          <w:color w:val="000000"/>
          <w:sz w:val="24"/>
          <w:szCs w:val="24"/>
        </w:rPr>
        <w:t>；</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2.工程地点：</w:t>
      </w:r>
      <w:r>
        <w:rPr>
          <w:rStyle w:val="14"/>
          <w:rFonts w:hint="eastAsia" w:ascii="宋体" w:hAnsi="宋体" w:cs="宋体"/>
          <w:color w:val="000000"/>
          <w:sz w:val="24"/>
          <w:szCs w:val="24"/>
          <w:u w:val="single"/>
        </w:rPr>
        <w:t>宿迁市第一人民医院</w:t>
      </w:r>
      <w:r>
        <w:rPr>
          <w:rStyle w:val="14"/>
          <w:rFonts w:hint="eastAsia" w:ascii="宋体" w:hAnsi="宋体" w:cs="宋体"/>
          <w:color w:val="000000"/>
          <w:sz w:val="24"/>
          <w:szCs w:val="24"/>
        </w:rPr>
        <w:t>；</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3.资金来源：</w:t>
      </w:r>
      <w:r>
        <w:rPr>
          <w:rStyle w:val="14"/>
          <w:rFonts w:hint="eastAsia" w:ascii="宋体" w:hAnsi="宋体" w:cs="宋体"/>
          <w:color w:val="000000"/>
          <w:sz w:val="24"/>
          <w:szCs w:val="24"/>
          <w:u w:val="single"/>
        </w:rPr>
        <w:t xml:space="preserve"> 单位自筹 </w:t>
      </w:r>
      <w:r>
        <w:rPr>
          <w:rStyle w:val="14"/>
          <w:rFonts w:hint="eastAsia" w:ascii="宋体" w:hAnsi="宋体" w:cs="宋体"/>
          <w:color w:val="000000"/>
          <w:sz w:val="24"/>
          <w:szCs w:val="24"/>
        </w:rPr>
        <w:t>；</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color w:val="000000"/>
          <w:sz w:val="24"/>
          <w:szCs w:val="24"/>
        </w:rPr>
        <w:t>4.工程内容：</w:t>
      </w:r>
      <w:r>
        <w:rPr>
          <w:rStyle w:val="14"/>
          <w:rFonts w:hint="eastAsia" w:ascii="宋体" w:hAnsi="宋体" w:cs="宋体"/>
          <w:color w:val="000000"/>
          <w:sz w:val="24"/>
          <w:szCs w:val="24"/>
          <w:u w:val="single"/>
          <w:lang w:eastAsia="zh-CN"/>
        </w:rPr>
        <w:t>宿迁市第一人民医院综合楼大厅干挂壁瓷砖改造及感染楼干挂壁瓷砖加固工程</w:t>
      </w:r>
      <w:r>
        <w:rPr>
          <w:rStyle w:val="14"/>
          <w:rFonts w:hint="eastAsia" w:ascii="宋体" w:hAnsi="宋体" w:cs="宋体"/>
          <w:color w:val="000000"/>
          <w:sz w:val="24"/>
          <w:szCs w:val="24"/>
          <w:u w:val="single"/>
        </w:rPr>
        <w:t>(包括工程量清单全部内容)；</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color w:val="000000"/>
          <w:sz w:val="24"/>
          <w:szCs w:val="24"/>
        </w:rPr>
        <w:t>6.工程承包范围：</w:t>
      </w:r>
      <w:r>
        <w:rPr>
          <w:rStyle w:val="14"/>
          <w:rFonts w:hint="eastAsia" w:ascii="宋体" w:hAnsi="宋体" w:cs="宋体"/>
          <w:color w:val="000000"/>
          <w:sz w:val="24"/>
          <w:szCs w:val="24"/>
          <w:u w:val="single"/>
          <w:lang w:eastAsia="zh-CN"/>
        </w:rPr>
        <w:t>宿迁市第一人民医院综合楼大厅干挂壁瓷砖改造及感染楼干挂壁瓷砖加固工程</w:t>
      </w:r>
      <w:r>
        <w:rPr>
          <w:rStyle w:val="14"/>
          <w:rFonts w:hint="eastAsia" w:ascii="宋体" w:hAnsi="宋体" w:cs="宋体"/>
          <w:color w:val="000000"/>
          <w:sz w:val="24"/>
          <w:szCs w:val="24"/>
          <w:u w:val="single"/>
        </w:rPr>
        <w:t>(包括工程量清单全部内容)；</w:t>
      </w:r>
    </w:p>
    <w:p>
      <w:pPr>
        <w:pStyle w:val="20"/>
        <w:bidi w:val="0"/>
        <w:spacing w:line="500" w:lineRule="exact"/>
        <w:rPr>
          <w:rStyle w:val="14"/>
          <w:rFonts w:ascii="宋体" w:hAnsi="宋体" w:cs="宋体"/>
          <w:b/>
          <w:color w:val="000000"/>
          <w:sz w:val="24"/>
          <w:szCs w:val="24"/>
        </w:rPr>
      </w:pPr>
      <w:bookmarkStart w:id="77" w:name="_Toc351203482"/>
      <w:r>
        <w:rPr>
          <w:rStyle w:val="14"/>
          <w:rFonts w:hint="eastAsia" w:ascii="宋体" w:hAnsi="宋体" w:cs="宋体"/>
          <w:b/>
          <w:color w:val="000000"/>
          <w:sz w:val="24"/>
          <w:szCs w:val="24"/>
        </w:rPr>
        <w:t>二、合同工期</w:t>
      </w:r>
      <w:bookmarkEnd w:id="77"/>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工期总日历天数：</w:t>
      </w:r>
      <w:r>
        <w:rPr>
          <w:rStyle w:val="14"/>
          <w:rFonts w:hint="eastAsia" w:ascii="宋体" w:hAnsi="宋体" w:cs="宋体"/>
          <w:color w:val="000000"/>
          <w:sz w:val="24"/>
          <w:szCs w:val="24"/>
          <w:u w:val="single"/>
          <w:lang w:val="en-US" w:eastAsia="zh-CN"/>
        </w:rPr>
        <w:t>6</w:t>
      </w:r>
      <w:r>
        <w:rPr>
          <w:rStyle w:val="14"/>
          <w:rFonts w:hint="eastAsia" w:ascii="宋体" w:hAnsi="宋体" w:cs="宋体"/>
          <w:color w:val="000000"/>
          <w:sz w:val="24"/>
          <w:szCs w:val="24"/>
          <w:u w:val="single"/>
        </w:rPr>
        <w:t>0</w:t>
      </w:r>
      <w:r>
        <w:rPr>
          <w:rStyle w:val="14"/>
          <w:rFonts w:hint="eastAsia" w:ascii="宋体" w:hAnsi="宋体" w:cs="宋体"/>
          <w:color w:val="000000"/>
          <w:sz w:val="24"/>
          <w:szCs w:val="24"/>
        </w:rPr>
        <w:t>天。</w:t>
      </w:r>
      <w:bookmarkStart w:id="78" w:name="_Toc351203483"/>
    </w:p>
    <w:p>
      <w:pPr>
        <w:pStyle w:val="20"/>
        <w:bidi w:val="0"/>
        <w:spacing w:line="500" w:lineRule="exact"/>
        <w:rPr>
          <w:rStyle w:val="14"/>
          <w:rFonts w:ascii="宋体" w:hAnsi="宋体" w:cs="宋体"/>
          <w:color w:val="000000"/>
          <w:sz w:val="24"/>
          <w:szCs w:val="24"/>
        </w:rPr>
      </w:pPr>
      <w:r>
        <w:rPr>
          <w:rStyle w:val="14"/>
          <w:rFonts w:hint="eastAsia" w:ascii="宋体" w:hAnsi="宋体" w:cs="宋体"/>
          <w:b/>
          <w:color w:val="000000"/>
          <w:sz w:val="24"/>
          <w:szCs w:val="24"/>
        </w:rPr>
        <w:t>三、质量标准</w:t>
      </w:r>
      <w:bookmarkEnd w:id="78"/>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工程质量符合</w:t>
      </w:r>
      <w:r>
        <w:rPr>
          <w:rStyle w:val="14"/>
          <w:rFonts w:hint="eastAsia" w:ascii="宋体" w:hAnsi="宋体" w:cs="宋体"/>
          <w:color w:val="000000"/>
          <w:sz w:val="24"/>
          <w:szCs w:val="24"/>
          <w:u w:val="single"/>
        </w:rPr>
        <w:t>《建筑工程施工质量标准》、竞争性磋商文件及发包人的要求与规范</w:t>
      </w:r>
      <w:r>
        <w:rPr>
          <w:rStyle w:val="14"/>
          <w:rFonts w:hint="eastAsia" w:ascii="宋体" w:hAnsi="宋体" w:cs="宋体"/>
          <w:color w:val="000000"/>
          <w:sz w:val="24"/>
          <w:szCs w:val="24"/>
        </w:rPr>
        <w:t>标准。</w:t>
      </w:r>
    </w:p>
    <w:p>
      <w:pPr>
        <w:pStyle w:val="20"/>
        <w:bidi w:val="0"/>
        <w:spacing w:line="500" w:lineRule="exact"/>
        <w:rPr>
          <w:rStyle w:val="14"/>
          <w:rFonts w:ascii="宋体" w:hAnsi="宋体" w:cs="宋体"/>
          <w:b/>
          <w:color w:val="000000"/>
          <w:sz w:val="24"/>
          <w:szCs w:val="24"/>
        </w:rPr>
      </w:pPr>
      <w:bookmarkStart w:id="79" w:name="_Toc351203484"/>
      <w:r>
        <w:rPr>
          <w:rStyle w:val="14"/>
          <w:rFonts w:hint="eastAsia" w:ascii="宋体" w:hAnsi="宋体" w:cs="宋体"/>
          <w:b/>
          <w:color w:val="000000"/>
          <w:sz w:val="24"/>
          <w:szCs w:val="24"/>
        </w:rPr>
        <w:t>四、签约合同价与合同价格形式</w:t>
      </w:r>
      <w:bookmarkEnd w:id="79"/>
      <w:r>
        <w:rPr>
          <w:rStyle w:val="14"/>
          <w:rFonts w:hint="eastAsia" w:ascii="宋体" w:hAnsi="宋体" w:cs="宋体"/>
          <w:b/>
          <w:color w:val="000000"/>
          <w:sz w:val="24"/>
          <w:szCs w:val="24"/>
        </w:rPr>
        <w:tab/>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1.签约合同价为：</w:t>
      </w:r>
    </w:p>
    <w:p>
      <w:pPr>
        <w:pStyle w:val="20"/>
        <w:bidi w:val="0"/>
        <w:spacing w:line="500" w:lineRule="exact"/>
        <w:ind w:firstLine="600" w:firstLineChars="250"/>
        <w:rPr>
          <w:rStyle w:val="14"/>
          <w:rFonts w:ascii="宋体" w:hAnsi="宋体" w:cs="宋体"/>
          <w:color w:val="000000"/>
          <w:sz w:val="24"/>
          <w:szCs w:val="24"/>
        </w:rPr>
      </w:pPr>
      <w:r>
        <w:rPr>
          <w:rStyle w:val="14"/>
          <w:rFonts w:hint="eastAsia" w:ascii="宋体" w:hAnsi="宋体" w:cs="宋体"/>
          <w:color w:val="000000"/>
          <w:sz w:val="24"/>
          <w:szCs w:val="24"/>
        </w:rPr>
        <w:t>人民币（大写）</w:t>
      </w:r>
      <w:r>
        <w:rPr>
          <w:rStyle w:val="14"/>
          <w:rFonts w:hint="eastAsia" w:ascii="宋体" w:hAnsi="宋体" w:cs="宋体"/>
          <w:color w:val="000000"/>
          <w:sz w:val="24"/>
          <w:szCs w:val="24"/>
          <w:u w:val="single"/>
        </w:rPr>
        <w:t xml:space="preserve">                            </w:t>
      </w:r>
      <w:r>
        <w:rPr>
          <w:rStyle w:val="14"/>
          <w:rFonts w:hint="eastAsia" w:ascii="宋体" w:hAnsi="宋体" w:cs="宋体"/>
          <w:color w:val="000000"/>
          <w:sz w:val="24"/>
          <w:szCs w:val="24"/>
        </w:rPr>
        <w:t>(¥</w:t>
      </w:r>
      <w:r>
        <w:rPr>
          <w:rStyle w:val="14"/>
          <w:rFonts w:hint="eastAsia" w:ascii="宋体" w:hAnsi="宋体" w:cs="宋体"/>
          <w:color w:val="000000"/>
          <w:sz w:val="24"/>
          <w:szCs w:val="24"/>
          <w:u w:val="single"/>
        </w:rPr>
        <w:t xml:space="preserve">            </w:t>
      </w:r>
      <w:r>
        <w:rPr>
          <w:rStyle w:val="14"/>
          <w:rFonts w:hint="eastAsia" w:ascii="宋体" w:hAnsi="宋体" w:cs="宋体"/>
          <w:color w:val="000000"/>
          <w:sz w:val="24"/>
          <w:szCs w:val="24"/>
        </w:rPr>
        <w:t>元)；</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2.合同价格形式：</w:t>
      </w:r>
      <w:r>
        <w:rPr>
          <w:rStyle w:val="14"/>
          <w:rFonts w:hint="eastAsia" w:ascii="宋体" w:hAnsi="宋体" w:cs="宋体"/>
          <w:color w:val="000000"/>
          <w:sz w:val="24"/>
          <w:szCs w:val="24"/>
          <w:u w:val="single"/>
        </w:rPr>
        <w:t>单价合同</w:t>
      </w:r>
      <w:r>
        <w:rPr>
          <w:rStyle w:val="14"/>
          <w:rFonts w:hint="eastAsia" w:ascii="宋体" w:hAnsi="宋体" w:cs="宋体"/>
          <w:color w:val="000000"/>
          <w:sz w:val="24"/>
          <w:szCs w:val="24"/>
        </w:rPr>
        <w:t>。</w:t>
      </w:r>
    </w:p>
    <w:p>
      <w:pPr>
        <w:pStyle w:val="20"/>
        <w:bidi w:val="0"/>
        <w:spacing w:line="500" w:lineRule="exact"/>
        <w:rPr>
          <w:rStyle w:val="14"/>
          <w:rFonts w:ascii="宋体" w:hAnsi="宋体" w:cs="宋体"/>
          <w:b/>
          <w:color w:val="000000"/>
          <w:sz w:val="24"/>
          <w:szCs w:val="24"/>
        </w:rPr>
      </w:pPr>
      <w:bookmarkStart w:id="80" w:name="_Toc351203485"/>
      <w:r>
        <w:rPr>
          <w:rStyle w:val="14"/>
          <w:rFonts w:hint="eastAsia" w:ascii="宋体" w:hAnsi="宋体" w:cs="宋体"/>
          <w:b/>
          <w:color w:val="000000"/>
          <w:sz w:val="24"/>
          <w:szCs w:val="24"/>
        </w:rPr>
        <w:t>五、</w:t>
      </w:r>
      <w:bookmarkEnd w:id="80"/>
      <w:r>
        <w:rPr>
          <w:rStyle w:val="14"/>
          <w:rFonts w:hint="eastAsia" w:ascii="宋体" w:hAnsi="宋体" w:cs="宋体"/>
          <w:b/>
          <w:color w:val="000000"/>
          <w:sz w:val="24"/>
          <w:szCs w:val="24"/>
        </w:rPr>
        <w:t>项目经理</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承包人项目经理：</w:t>
      </w:r>
      <w:r>
        <w:rPr>
          <w:rStyle w:val="14"/>
          <w:rFonts w:hint="eastAsia" w:ascii="宋体" w:hAnsi="宋体" w:cs="宋体"/>
          <w:color w:val="000000"/>
          <w:sz w:val="24"/>
          <w:szCs w:val="24"/>
          <w:u w:val="single"/>
        </w:rPr>
        <w:t xml:space="preserve">          </w:t>
      </w:r>
      <w:r>
        <w:rPr>
          <w:rStyle w:val="14"/>
          <w:rFonts w:hint="eastAsia" w:ascii="宋体" w:hAnsi="宋体" w:cs="宋体"/>
          <w:color w:val="000000"/>
          <w:sz w:val="24"/>
          <w:szCs w:val="24"/>
        </w:rPr>
        <w:t>。</w:t>
      </w:r>
    </w:p>
    <w:p>
      <w:pPr>
        <w:pStyle w:val="20"/>
        <w:bidi w:val="0"/>
        <w:spacing w:line="500" w:lineRule="exact"/>
        <w:rPr>
          <w:rStyle w:val="14"/>
          <w:rFonts w:ascii="宋体" w:hAnsi="宋体" w:cs="宋体"/>
          <w:b/>
          <w:color w:val="000000"/>
          <w:sz w:val="24"/>
          <w:szCs w:val="24"/>
        </w:rPr>
      </w:pPr>
      <w:bookmarkStart w:id="81" w:name="_Toc351203486"/>
      <w:r>
        <w:rPr>
          <w:rStyle w:val="14"/>
          <w:rFonts w:hint="eastAsia" w:ascii="宋体" w:hAnsi="宋体" w:cs="宋体"/>
          <w:b/>
          <w:color w:val="000000"/>
          <w:sz w:val="24"/>
          <w:szCs w:val="24"/>
        </w:rPr>
        <w:t>六、合同文件构成</w:t>
      </w:r>
      <w:bookmarkEnd w:id="81"/>
    </w:p>
    <w:p>
      <w:pPr>
        <w:pStyle w:val="20"/>
        <w:bidi w:val="0"/>
        <w:spacing w:line="500" w:lineRule="exact"/>
        <w:ind w:firstLine="480" w:firstLineChars="200"/>
        <w:rPr>
          <w:rStyle w:val="14"/>
          <w:rFonts w:ascii="宋体" w:hAnsi="宋体" w:cs="宋体"/>
          <w:bCs/>
          <w:color w:val="000000"/>
          <w:sz w:val="24"/>
          <w:szCs w:val="24"/>
        </w:rPr>
      </w:pPr>
      <w:r>
        <w:rPr>
          <w:rStyle w:val="14"/>
          <w:rFonts w:hint="eastAsia" w:ascii="宋体" w:hAnsi="宋体" w:cs="宋体"/>
          <w:bCs/>
          <w:color w:val="000000"/>
          <w:sz w:val="24"/>
          <w:szCs w:val="24"/>
        </w:rPr>
        <w:t>本协议书与下列文件一起构成合同文件：</w:t>
      </w:r>
    </w:p>
    <w:p>
      <w:pPr>
        <w:pStyle w:val="20"/>
        <w:autoSpaceDE w:val="0"/>
        <w:autoSpaceDN w:val="0"/>
        <w:bidi w:val="0"/>
        <w:adjustRightInd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（1）成家通知书；</w:t>
      </w:r>
    </w:p>
    <w:p>
      <w:pPr>
        <w:pStyle w:val="20"/>
        <w:autoSpaceDE w:val="0"/>
        <w:autoSpaceDN w:val="0"/>
        <w:bidi w:val="0"/>
        <w:adjustRightInd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 xml:space="preserve">（2）竞争性磋商文件、响应文件及其附录； </w:t>
      </w:r>
    </w:p>
    <w:p>
      <w:pPr>
        <w:pStyle w:val="20"/>
        <w:autoSpaceDE w:val="0"/>
        <w:autoSpaceDN w:val="0"/>
        <w:bidi w:val="0"/>
        <w:adjustRightInd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（3）专用合同条款及其附件；</w:t>
      </w:r>
    </w:p>
    <w:p>
      <w:pPr>
        <w:pStyle w:val="20"/>
        <w:autoSpaceDE w:val="0"/>
        <w:autoSpaceDN w:val="0"/>
        <w:bidi w:val="0"/>
        <w:adjustRightInd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（4）通用合同条款；</w:t>
      </w:r>
    </w:p>
    <w:p>
      <w:pPr>
        <w:pStyle w:val="20"/>
        <w:autoSpaceDE w:val="0"/>
        <w:autoSpaceDN w:val="0"/>
        <w:bidi w:val="0"/>
        <w:adjustRightInd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（5）技术标准和要求；</w:t>
      </w:r>
    </w:p>
    <w:p>
      <w:pPr>
        <w:pStyle w:val="20"/>
        <w:autoSpaceDE w:val="0"/>
        <w:autoSpaceDN w:val="0"/>
        <w:bidi w:val="0"/>
        <w:adjustRightInd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（6）图纸（如有）；</w:t>
      </w:r>
    </w:p>
    <w:p>
      <w:pPr>
        <w:pStyle w:val="20"/>
        <w:autoSpaceDE w:val="0"/>
        <w:autoSpaceDN w:val="0"/>
        <w:bidi w:val="0"/>
        <w:adjustRightInd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（7）已标价工程量清单或预算书；</w:t>
      </w:r>
    </w:p>
    <w:p>
      <w:pPr>
        <w:pStyle w:val="20"/>
        <w:autoSpaceDE w:val="0"/>
        <w:autoSpaceDN w:val="0"/>
        <w:bidi w:val="0"/>
        <w:adjustRightInd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（8）其他合同文件。</w:t>
      </w:r>
    </w:p>
    <w:p>
      <w:pPr>
        <w:pStyle w:val="20"/>
        <w:autoSpaceDE w:val="0"/>
        <w:autoSpaceDN w:val="0"/>
        <w:bidi w:val="0"/>
        <w:adjustRightInd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在合同订立及履行过程中形成的与合同有关的文件均构成合同文件组成部分。</w:t>
      </w:r>
    </w:p>
    <w:p>
      <w:pPr>
        <w:pStyle w:val="20"/>
        <w:autoSpaceDE w:val="0"/>
        <w:autoSpaceDN w:val="0"/>
        <w:bidi w:val="0"/>
        <w:adjustRightInd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上述各项合同文件包括合同当事人就该项合同文件所作出的补充和修改，属于同一类内容的文件，应以最新签署的为准。专用合同条款及其附件须经合同当事人签字或盖章。</w:t>
      </w:r>
      <w:bookmarkStart w:id="82" w:name="_Toc351203487"/>
    </w:p>
    <w:p>
      <w:pPr>
        <w:pStyle w:val="20"/>
        <w:autoSpaceDE w:val="0"/>
        <w:autoSpaceDN w:val="0"/>
        <w:bidi w:val="0"/>
        <w:adjustRightInd w:val="0"/>
        <w:spacing w:line="500" w:lineRule="exact"/>
        <w:jc w:val="left"/>
        <w:rPr>
          <w:rStyle w:val="14"/>
          <w:rFonts w:ascii="宋体" w:hAnsi="宋体" w:cs="宋体"/>
          <w:b/>
          <w:color w:val="000000"/>
          <w:sz w:val="24"/>
          <w:szCs w:val="24"/>
        </w:rPr>
      </w:pPr>
      <w:r>
        <w:rPr>
          <w:rStyle w:val="14"/>
          <w:rFonts w:hint="eastAsia" w:ascii="宋体" w:hAnsi="宋体" w:cs="宋体"/>
          <w:b/>
          <w:color w:val="000000"/>
          <w:sz w:val="24"/>
          <w:szCs w:val="24"/>
        </w:rPr>
        <w:t>七、承诺</w:t>
      </w:r>
      <w:bookmarkEnd w:id="82"/>
    </w:p>
    <w:p>
      <w:pPr>
        <w:pStyle w:val="20"/>
        <w:bidi w:val="0"/>
        <w:spacing w:line="500" w:lineRule="exact"/>
        <w:ind w:firstLine="480" w:firstLineChars="200"/>
        <w:rPr>
          <w:rStyle w:val="14"/>
          <w:rFonts w:ascii="宋体" w:hAnsi="宋体" w:cs="宋体"/>
          <w:bCs/>
          <w:color w:val="000000"/>
          <w:sz w:val="24"/>
          <w:szCs w:val="24"/>
        </w:rPr>
      </w:pPr>
      <w:r>
        <w:rPr>
          <w:rStyle w:val="14"/>
          <w:rFonts w:hint="eastAsia" w:ascii="宋体" w:hAnsi="宋体" w:cs="宋体"/>
          <w:bCs/>
          <w:color w:val="000000"/>
          <w:sz w:val="24"/>
          <w:szCs w:val="24"/>
        </w:rPr>
        <w:t>1.发包人承诺按照法律规定履行项目审批手续、筹集工程建设资金并按照合同约定的期限和方式支付合同价款。</w:t>
      </w:r>
    </w:p>
    <w:p>
      <w:pPr>
        <w:pStyle w:val="20"/>
        <w:bidi w:val="0"/>
        <w:spacing w:line="500" w:lineRule="exact"/>
        <w:ind w:firstLine="480" w:firstLineChars="200"/>
        <w:rPr>
          <w:rStyle w:val="14"/>
          <w:rFonts w:ascii="宋体" w:hAnsi="宋体" w:cs="宋体"/>
          <w:bCs/>
          <w:color w:val="000000"/>
          <w:sz w:val="24"/>
          <w:szCs w:val="24"/>
        </w:rPr>
      </w:pPr>
      <w:r>
        <w:rPr>
          <w:rStyle w:val="14"/>
          <w:rFonts w:hint="eastAsia" w:ascii="宋体" w:hAnsi="宋体" w:cs="宋体"/>
          <w:bCs/>
          <w:color w:val="000000"/>
          <w:sz w:val="24"/>
          <w:szCs w:val="24"/>
        </w:rPr>
        <w:t>2.承包人承诺按照法律规定及合同约定组织完成工程施工，确保工程质量和安全，不进行转包及违法分包，并承担在缺陷责任期及保修期内相应的工程维修责任。</w:t>
      </w:r>
    </w:p>
    <w:p>
      <w:pPr>
        <w:pStyle w:val="20"/>
        <w:bidi w:val="0"/>
        <w:spacing w:line="500" w:lineRule="exact"/>
        <w:ind w:firstLine="480" w:firstLineChars="200"/>
        <w:rPr>
          <w:rStyle w:val="14"/>
          <w:rFonts w:ascii="宋体" w:hAnsi="宋体" w:cs="宋体"/>
          <w:bCs/>
          <w:color w:val="000000"/>
          <w:sz w:val="24"/>
          <w:szCs w:val="24"/>
        </w:rPr>
      </w:pPr>
      <w:r>
        <w:rPr>
          <w:rStyle w:val="14"/>
          <w:rFonts w:hint="eastAsia" w:ascii="宋体" w:hAnsi="宋体" w:cs="宋体"/>
          <w:bCs/>
          <w:color w:val="000000"/>
          <w:sz w:val="24"/>
          <w:szCs w:val="24"/>
        </w:rPr>
        <w:t>3.发包人和承包人通过招投标形式签订合同的，双方理解并承诺不再就同一工程另行签订与合同实质性内容相背离的协议。</w:t>
      </w:r>
      <w:bookmarkStart w:id="83" w:name="_Toc351203488"/>
    </w:p>
    <w:p>
      <w:pPr>
        <w:pStyle w:val="20"/>
        <w:bidi w:val="0"/>
        <w:spacing w:line="500" w:lineRule="exact"/>
        <w:rPr>
          <w:rStyle w:val="14"/>
          <w:rFonts w:ascii="宋体" w:hAnsi="宋体" w:cs="宋体"/>
          <w:bCs/>
          <w:color w:val="000000"/>
          <w:sz w:val="24"/>
          <w:szCs w:val="24"/>
        </w:rPr>
      </w:pPr>
      <w:r>
        <w:rPr>
          <w:rStyle w:val="14"/>
          <w:rFonts w:hint="eastAsia" w:ascii="宋体" w:hAnsi="宋体" w:cs="宋体"/>
          <w:b/>
          <w:color w:val="000000"/>
          <w:sz w:val="24"/>
          <w:szCs w:val="24"/>
        </w:rPr>
        <w:t>八、词语含义</w:t>
      </w:r>
      <w:bookmarkEnd w:id="83"/>
    </w:p>
    <w:p>
      <w:pPr>
        <w:pStyle w:val="20"/>
        <w:bidi w:val="0"/>
        <w:spacing w:line="500" w:lineRule="exact"/>
        <w:ind w:firstLine="480" w:firstLineChars="200"/>
        <w:rPr>
          <w:rStyle w:val="14"/>
          <w:rFonts w:ascii="宋体" w:hAnsi="宋体" w:cs="宋体"/>
          <w:bCs/>
          <w:color w:val="000000"/>
          <w:sz w:val="24"/>
          <w:szCs w:val="24"/>
        </w:rPr>
      </w:pPr>
      <w:r>
        <w:rPr>
          <w:rStyle w:val="14"/>
          <w:rFonts w:hint="eastAsia" w:ascii="宋体" w:hAnsi="宋体" w:cs="宋体"/>
          <w:bCs/>
          <w:color w:val="000000"/>
          <w:sz w:val="24"/>
          <w:szCs w:val="24"/>
        </w:rPr>
        <w:t>本协议书中词语含义与第二部分通用合同条款中赋予的含义相同。</w:t>
      </w:r>
    </w:p>
    <w:p>
      <w:pPr>
        <w:pStyle w:val="20"/>
        <w:bidi w:val="0"/>
        <w:spacing w:line="500" w:lineRule="exact"/>
        <w:rPr>
          <w:rStyle w:val="14"/>
          <w:rFonts w:ascii="宋体" w:hAnsi="宋体" w:cs="宋体"/>
          <w:b/>
          <w:color w:val="000000"/>
          <w:sz w:val="24"/>
          <w:szCs w:val="24"/>
        </w:rPr>
      </w:pPr>
      <w:bookmarkStart w:id="84" w:name="_Toc351203489"/>
      <w:r>
        <w:rPr>
          <w:rStyle w:val="14"/>
          <w:rFonts w:hint="eastAsia" w:ascii="宋体" w:hAnsi="宋体" w:cs="宋体"/>
          <w:b/>
          <w:color w:val="000000"/>
          <w:sz w:val="24"/>
          <w:szCs w:val="24"/>
        </w:rPr>
        <w:t>九、</w:t>
      </w:r>
      <w:bookmarkEnd w:id="84"/>
      <w:bookmarkStart w:id="85" w:name="_Toc351203490"/>
      <w:r>
        <w:rPr>
          <w:rStyle w:val="14"/>
          <w:rFonts w:hint="eastAsia" w:ascii="宋体" w:hAnsi="宋体" w:cs="宋体"/>
          <w:b/>
          <w:color w:val="000000"/>
          <w:sz w:val="24"/>
          <w:szCs w:val="24"/>
        </w:rPr>
        <w:t>签订地点</w:t>
      </w:r>
      <w:bookmarkEnd w:id="85"/>
    </w:p>
    <w:p>
      <w:pPr>
        <w:pStyle w:val="20"/>
        <w:bidi w:val="0"/>
        <w:spacing w:line="500" w:lineRule="exact"/>
        <w:ind w:firstLine="480" w:firstLineChars="200"/>
        <w:rPr>
          <w:rStyle w:val="14"/>
          <w:rFonts w:ascii="宋体" w:hAnsi="宋体" w:cs="宋体"/>
          <w:bCs/>
          <w:color w:val="000000"/>
          <w:sz w:val="24"/>
          <w:szCs w:val="24"/>
        </w:rPr>
      </w:pPr>
      <w:r>
        <w:rPr>
          <w:rStyle w:val="14"/>
          <w:rFonts w:hint="eastAsia" w:ascii="宋体" w:hAnsi="宋体" w:cs="宋体"/>
          <w:bCs/>
          <w:color w:val="000000"/>
          <w:sz w:val="24"/>
          <w:szCs w:val="24"/>
        </w:rPr>
        <w:t>本合同在</w:t>
      </w:r>
      <w:r>
        <w:rPr>
          <w:rStyle w:val="14"/>
          <w:rFonts w:hint="eastAsia" w:ascii="宋体" w:hAnsi="宋体" w:cs="宋体"/>
          <w:bCs/>
          <w:color w:val="000000"/>
          <w:sz w:val="24"/>
          <w:szCs w:val="24"/>
          <w:u w:val="single"/>
        </w:rPr>
        <w:t>宿迁市第一人民医院</w:t>
      </w:r>
      <w:r>
        <w:rPr>
          <w:rStyle w:val="14"/>
          <w:rFonts w:hint="eastAsia" w:ascii="宋体" w:hAnsi="宋体" w:cs="宋体"/>
          <w:bCs/>
          <w:color w:val="000000"/>
          <w:sz w:val="24"/>
          <w:szCs w:val="24"/>
        </w:rPr>
        <w:t>签订。</w:t>
      </w:r>
    </w:p>
    <w:p>
      <w:pPr>
        <w:pStyle w:val="20"/>
        <w:bidi w:val="0"/>
        <w:spacing w:line="500" w:lineRule="exact"/>
        <w:rPr>
          <w:rStyle w:val="14"/>
          <w:rFonts w:ascii="宋体" w:hAnsi="宋体" w:cs="宋体"/>
          <w:b/>
          <w:color w:val="000000"/>
          <w:sz w:val="24"/>
          <w:szCs w:val="24"/>
        </w:rPr>
      </w:pPr>
      <w:bookmarkStart w:id="86" w:name="_Toc351203491"/>
      <w:r>
        <w:rPr>
          <w:rStyle w:val="14"/>
          <w:rFonts w:hint="eastAsia" w:ascii="宋体" w:hAnsi="宋体" w:cs="宋体"/>
          <w:b/>
          <w:color w:val="000000"/>
          <w:sz w:val="24"/>
          <w:szCs w:val="24"/>
        </w:rPr>
        <w:t>十、补充协议</w:t>
      </w:r>
      <w:bookmarkEnd w:id="86"/>
    </w:p>
    <w:p>
      <w:pPr>
        <w:pStyle w:val="20"/>
        <w:bidi w:val="0"/>
        <w:spacing w:line="500" w:lineRule="exact"/>
        <w:ind w:firstLine="480" w:firstLineChars="200"/>
        <w:rPr>
          <w:rStyle w:val="14"/>
          <w:rFonts w:ascii="宋体" w:hAnsi="宋体" w:cs="宋体"/>
          <w:b/>
          <w:bCs/>
          <w:color w:val="000000"/>
          <w:sz w:val="24"/>
          <w:szCs w:val="24"/>
        </w:rPr>
      </w:pPr>
      <w:r>
        <w:rPr>
          <w:rStyle w:val="14"/>
          <w:rFonts w:hint="eastAsia" w:ascii="宋体" w:hAnsi="宋体" w:cs="宋体"/>
          <w:bCs/>
          <w:color w:val="000000"/>
          <w:sz w:val="24"/>
          <w:szCs w:val="24"/>
        </w:rPr>
        <w:t>合同未尽事宜，合同当事人另行签订补充协议，补充协议是合同的组成部分。</w:t>
      </w:r>
    </w:p>
    <w:p>
      <w:pPr>
        <w:pStyle w:val="20"/>
        <w:bidi w:val="0"/>
        <w:spacing w:line="500" w:lineRule="exact"/>
        <w:rPr>
          <w:rStyle w:val="14"/>
          <w:rFonts w:ascii="宋体" w:hAnsi="宋体" w:cs="宋体"/>
          <w:b/>
          <w:color w:val="000000"/>
          <w:sz w:val="24"/>
          <w:szCs w:val="24"/>
        </w:rPr>
      </w:pPr>
      <w:bookmarkStart w:id="87" w:name="_Toc351203492"/>
      <w:r>
        <w:rPr>
          <w:rStyle w:val="14"/>
          <w:rFonts w:hint="eastAsia" w:ascii="宋体" w:hAnsi="宋体" w:cs="宋体"/>
          <w:b/>
          <w:color w:val="000000"/>
          <w:sz w:val="24"/>
          <w:szCs w:val="24"/>
        </w:rPr>
        <w:t>十一、合同生效</w:t>
      </w:r>
      <w:bookmarkEnd w:id="87"/>
    </w:p>
    <w:p>
      <w:pPr>
        <w:pStyle w:val="20"/>
        <w:bidi w:val="0"/>
        <w:spacing w:line="500" w:lineRule="exact"/>
        <w:ind w:firstLine="480" w:firstLineChars="200"/>
        <w:rPr>
          <w:rStyle w:val="14"/>
          <w:rFonts w:ascii="宋体" w:hAnsi="宋体" w:cs="宋体"/>
          <w:bCs/>
          <w:color w:val="000000"/>
          <w:sz w:val="24"/>
          <w:szCs w:val="24"/>
        </w:rPr>
      </w:pPr>
      <w:r>
        <w:rPr>
          <w:rStyle w:val="14"/>
          <w:rFonts w:hint="eastAsia" w:ascii="宋体" w:hAnsi="宋体" w:cs="宋体"/>
          <w:bCs/>
          <w:color w:val="000000"/>
          <w:sz w:val="24"/>
          <w:szCs w:val="24"/>
        </w:rPr>
        <w:t>本合同自</w:t>
      </w:r>
      <w:r>
        <w:rPr>
          <w:rStyle w:val="14"/>
          <w:rFonts w:hint="eastAsia" w:ascii="宋体" w:hAnsi="宋体" w:cs="宋体"/>
          <w:color w:val="000000"/>
          <w:sz w:val="24"/>
          <w:szCs w:val="24"/>
          <w:u w:val="single"/>
        </w:rPr>
        <w:t>双方签字并盖章后</w:t>
      </w:r>
      <w:r>
        <w:rPr>
          <w:rStyle w:val="14"/>
          <w:rFonts w:hint="eastAsia" w:ascii="宋体" w:hAnsi="宋体" w:cs="宋体"/>
          <w:bCs/>
          <w:color w:val="000000"/>
          <w:sz w:val="24"/>
          <w:szCs w:val="24"/>
        </w:rPr>
        <w:t>生效。</w:t>
      </w:r>
    </w:p>
    <w:p>
      <w:pPr>
        <w:pStyle w:val="20"/>
        <w:bidi w:val="0"/>
        <w:spacing w:line="500" w:lineRule="exact"/>
        <w:rPr>
          <w:rStyle w:val="14"/>
          <w:rFonts w:ascii="宋体" w:hAnsi="宋体" w:cs="宋体"/>
          <w:b/>
          <w:color w:val="000000"/>
          <w:sz w:val="24"/>
          <w:szCs w:val="24"/>
        </w:rPr>
      </w:pPr>
      <w:bookmarkStart w:id="88" w:name="_Toc351203493"/>
      <w:r>
        <w:rPr>
          <w:rStyle w:val="14"/>
          <w:rFonts w:hint="eastAsia" w:ascii="宋体" w:hAnsi="宋体" w:cs="宋体"/>
          <w:b/>
          <w:color w:val="000000"/>
          <w:sz w:val="24"/>
          <w:szCs w:val="24"/>
        </w:rPr>
        <w:t>十二、合同份数</w:t>
      </w:r>
      <w:bookmarkEnd w:id="88"/>
    </w:p>
    <w:p>
      <w:pPr>
        <w:pStyle w:val="20"/>
        <w:bidi w:val="0"/>
        <w:spacing w:line="500" w:lineRule="exact"/>
        <w:ind w:firstLine="480" w:firstLineChars="200"/>
        <w:rPr>
          <w:rStyle w:val="14"/>
          <w:rFonts w:ascii="宋体" w:hAnsi="宋体" w:cs="宋体"/>
          <w:bCs/>
          <w:color w:val="000000"/>
          <w:sz w:val="24"/>
          <w:szCs w:val="24"/>
        </w:rPr>
      </w:pPr>
      <w:r>
        <w:rPr>
          <w:rStyle w:val="14"/>
          <w:rFonts w:hint="eastAsia" w:ascii="宋体" w:hAnsi="宋体" w:cs="宋体"/>
          <w:bCs/>
          <w:color w:val="000000"/>
          <w:sz w:val="24"/>
          <w:szCs w:val="24"/>
        </w:rPr>
        <w:t>本合同一式</w:t>
      </w:r>
      <w:r>
        <w:rPr>
          <w:rStyle w:val="14"/>
          <w:rFonts w:hint="eastAsia" w:ascii="宋体" w:hAnsi="宋体" w:cs="宋体"/>
          <w:bCs/>
          <w:color w:val="000000"/>
          <w:sz w:val="24"/>
          <w:szCs w:val="24"/>
          <w:u w:val="single"/>
        </w:rPr>
        <w:t xml:space="preserve"> 伍  </w:t>
      </w:r>
      <w:r>
        <w:rPr>
          <w:rStyle w:val="14"/>
          <w:rFonts w:hint="eastAsia" w:ascii="宋体" w:hAnsi="宋体" w:cs="宋体"/>
          <w:bCs/>
          <w:color w:val="000000"/>
          <w:sz w:val="24"/>
          <w:szCs w:val="24"/>
        </w:rPr>
        <w:t>份，均具有同等法律效力，发包人执</w:t>
      </w:r>
      <w:r>
        <w:rPr>
          <w:rStyle w:val="14"/>
          <w:rFonts w:hint="eastAsia" w:ascii="宋体" w:hAnsi="宋体" w:cs="宋体"/>
          <w:bCs/>
          <w:color w:val="000000"/>
          <w:sz w:val="24"/>
          <w:szCs w:val="24"/>
          <w:u w:val="single"/>
        </w:rPr>
        <w:t xml:space="preserve">  肆  </w:t>
      </w:r>
      <w:r>
        <w:rPr>
          <w:rStyle w:val="14"/>
          <w:rFonts w:hint="eastAsia" w:ascii="宋体" w:hAnsi="宋体" w:cs="宋体"/>
          <w:bCs/>
          <w:color w:val="000000"/>
          <w:sz w:val="24"/>
          <w:szCs w:val="24"/>
        </w:rPr>
        <w:t>份，承包人执</w:t>
      </w:r>
      <w:r>
        <w:rPr>
          <w:rStyle w:val="14"/>
          <w:rFonts w:hint="eastAsia" w:ascii="宋体" w:hAnsi="宋体" w:cs="宋体"/>
          <w:bCs/>
          <w:color w:val="000000"/>
          <w:sz w:val="24"/>
          <w:szCs w:val="24"/>
          <w:u w:val="single"/>
        </w:rPr>
        <w:t xml:space="preserve"> 壹   </w:t>
      </w:r>
      <w:r>
        <w:rPr>
          <w:rStyle w:val="14"/>
          <w:rFonts w:hint="eastAsia" w:ascii="宋体" w:hAnsi="宋体" w:cs="宋体"/>
          <w:bCs/>
          <w:color w:val="000000"/>
          <w:sz w:val="24"/>
          <w:szCs w:val="24"/>
        </w:rPr>
        <w:t>份。</w:t>
      </w:r>
    </w:p>
    <w:p>
      <w:pPr>
        <w:pStyle w:val="20"/>
        <w:bidi w:val="0"/>
        <w:spacing w:line="500" w:lineRule="exact"/>
        <w:rPr>
          <w:rStyle w:val="14"/>
          <w:rFonts w:ascii="宋体" w:hAnsi="宋体" w:cs="宋体"/>
          <w:bCs/>
          <w:color w:val="000000"/>
          <w:sz w:val="24"/>
          <w:szCs w:val="24"/>
        </w:rPr>
      </w:pP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发包人：宿迁市第一人民医院        承包人：</w:t>
      </w: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 xml:space="preserve"> （盖章 ）                               （盖章）</w:t>
      </w: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法定代表人：                      法定（授权）代表人：</w:t>
      </w:r>
    </w:p>
    <w:p>
      <w:pPr>
        <w:pStyle w:val="21"/>
        <w:bidi w:val="0"/>
        <w:spacing w:line="440" w:lineRule="exact"/>
        <w:ind w:firstLine="360" w:firstLineChars="150"/>
        <w:rPr>
          <w:rStyle w:val="14"/>
          <w:rFonts w:ascii="宋体" w:hAnsi="宋体" w:cs="宋体"/>
          <w:b w:val="0"/>
          <w:bCs/>
          <w:kern w:val="0"/>
          <w:sz w:val="24"/>
          <w:szCs w:val="24"/>
        </w:rPr>
      </w:pP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信息处负责人：</w:t>
      </w:r>
    </w:p>
    <w:p>
      <w:pPr>
        <w:pStyle w:val="21"/>
        <w:bidi w:val="0"/>
        <w:spacing w:line="440" w:lineRule="exact"/>
        <w:ind w:firstLine="360" w:firstLineChars="150"/>
        <w:rPr>
          <w:rStyle w:val="14"/>
          <w:rFonts w:ascii="宋体" w:hAnsi="宋体" w:cs="宋体"/>
          <w:b w:val="0"/>
          <w:bCs/>
          <w:kern w:val="0"/>
          <w:sz w:val="24"/>
          <w:szCs w:val="24"/>
        </w:rPr>
      </w:pP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招标办负责人：                    联系人：</w:t>
      </w:r>
    </w:p>
    <w:p>
      <w:pPr>
        <w:pStyle w:val="21"/>
        <w:bidi w:val="0"/>
        <w:spacing w:line="440" w:lineRule="exact"/>
        <w:ind w:firstLine="360" w:firstLineChars="150"/>
        <w:rPr>
          <w:rStyle w:val="14"/>
          <w:rFonts w:ascii="宋体" w:hAnsi="宋体" w:cs="宋体"/>
          <w:b w:val="0"/>
          <w:bCs/>
          <w:kern w:val="0"/>
          <w:sz w:val="24"/>
          <w:szCs w:val="24"/>
        </w:rPr>
      </w:pP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联系人：                          联系电话：</w:t>
      </w: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202</w:t>
      </w:r>
      <w:r>
        <w:rPr>
          <w:rStyle w:val="14"/>
          <w:rFonts w:hint="eastAsia" w:ascii="宋体" w:hAnsi="宋体" w:cs="宋体"/>
          <w:b w:val="0"/>
          <w:bCs/>
          <w:kern w:val="0"/>
          <w:sz w:val="24"/>
          <w:szCs w:val="24"/>
          <w:lang w:val="en-US" w:eastAsia="zh-CN"/>
        </w:rPr>
        <w:t>4</w:t>
      </w:r>
      <w:r>
        <w:rPr>
          <w:rStyle w:val="14"/>
          <w:rFonts w:hint="eastAsia" w:ascii="宋体" w:hAnsi="宋体" w:cs="宋体"/>
          <w:b w:val="0"/>
          <w:bCs/>
          <w:kern w:val="0"/>
          <w:sz w:val="24"/>
          <w:szCs w:val="24"/>
        </w:rPr>
        <w:t>年   月    日                 202</w:t>
      </w:r>
      <w:r>
        <w:rPr>
          <w:rStyle w:val="14"/>
          <w:rFonts w:hint="eastAsia" w:ascii="宋体" w:hAnsi="宋体" w:cs="宋体"/>
          <w:b w:val="0"/>
          <w:bCs/>
          <w:kern w:val="0"/>
          <w:sz w:val="24"/>
          <w:szCs w:val="24"/>
          <w:lang w:val="en-US" w:eastAsia="zh-CN"/>
        </w:rPr>
        <w:t>4</w:t>
      </w:r>
      <w:r>
        <w:rPr>
          <w:rStyle w:val="14"/>
          <w:rFonts w:hint="eastAsia" w:ascii="宋体" w:hAnsi="宋体" w:cs="宋体"/>
          <w:b w:val="0"/>
          <w:bCs/>
          <w:kern w:val="0"/>
          <w:sz w:val="24"/>
          <w:szCs w:val="24"/>
        </w:rPr>
        <w:t>年   月    日</w:t>
      </w:r>
    </w:p>
    <w:p>
      <w:pPr>
        <w:pStyle w:val="22"/>
        <w:bidi w:val="0"/>
        <w:rPr>
          <w:rStyle w:val="14"/>
          <w:rFonts w:ascii="宋体" w:hAnsi="宋体" w:cs="宋体"/>
          <w:color w:val="000000"/>
          <w:sz w:val="24"/>
          <w:szCs w:val="24"/>
          <w:highlight w:val="white"/>
        </w:rPr>
      </w:pPr>
      <w:r>
        <w:rPr>
          <w:rStyle w:val="14"/>
          <w:rFonts w:hint="eastAsia" w:ascii="宋体" w:hAnsi="宋体" w:cs="宋体"/>
          <w:color w:val="000000"/>
          <w:sz w:val="24"/>
          <w:szCs w:val="24"/>
          <w:highlight w:val="white"/>
        </w:rPr>
        <w:t xml:space="preserve"> </w:t>
      </w:r>
      <w:bookmarkStart w:id="89" w:name="_Toc256000066"/>
      <w:bookmarkStart w:id="90" w:name="_Toc508182160"/>
      <w:bookmarkStart w:id="91" w:name="_Toc256000060"/>
      <w:bookmarkStart w:id="92" w:name="_Toc256000063"/>
      <w:bookmarkStart w:id="93" w:name="_Toc5799270"/>
      <w:bookmarkStart w:id="94" w:name="_Toc351203494"/>
    </w:p>
    <w:p>
      <w:pPr>
        <w:pStyle w:val="20"/>
        <w:keepNext/>
        <w:keepLines/>
        <w:bidi w:val="0"/>
        <w:spacing w:line="500" w:lineRule="exact"/>
        <w:jc w:val="center"/>
        <w:outlineLvl w:val="2"/>
        <w:rPr>
          <w:rStyle w:val="14"/>
          <w:rFonts w:ascii="仿宋" w:hAnsi="仿宋" w:eastAsia="仿宋"/>
          <w:b/>
          <w:color w:val="000000"/>
          <w:sz w:val="44"/>
          <w:szCs w:val="44"/>
        </w:rPr>
      </w:pPr>
    </w:p>
    <w:p>
      <w:pPr>
        <w:pStyle w:val="20"/>
        <w:keepNext/>
        <w:keepLines/>
        <w:bidi w:val="0"/>
        <w:spacing w:line="500" w:lineRule="exact"/>
        <w:jc w:val="center"/>
        <w:outlineLvl w:val="2"/>
        <w:rPr>
          <w:rStyle w:val="14"/>
          <w:rFonts w:ascii="仿宋" w:hAnsi="仿宋" w:eastAsia="仿宋"/>
          <w:b/>
          <w:color w:val="000000"/>
          <w:sz w:val="44"/>
          <w:szCs w:val="44"/>
        </w:rPr>
      </w:pPr>
    </w:p>
    <w:p>
      <w:pPr>
        <w:pStyle w:val="20"/>
        <w:keepNext/>
        <w:keepLines/>
        <w:bidi w:val="0"/>
        <w:spacing w:line="500" w:lineRule="exact"/>
        <w:jc w:val="center"/>
        <w:outlineLvl w:val="2"/>
        <w:rPr>
          <w:rStyle w:val="14"/>
          <w:rFonts w:ascii="仿宋" w:hAnsi="仿宋" w:eastAsia="仿宋"/>
          <w:b/>
          <w:color w:val="000000"/>
          <w:sz w:val="44"/>
          <w:szCs w:val="44"/>
        </w:rPr>
      </w:pPr>
    </w:p>
    <w:p>
      <w:pPr>
        <w:pStyle w:val="20"/>
        <w:keepNext/>
        <w:keepLines/>
        <w:bidi w:val="0"/>
        <w:spacing w:line="500" w:lineRule="exact"/>
        <w:jc w:val="center"/>
        <w:outlineLvl w:val="2"/>
        <w:rPr>
          <w:rStyle w:val="14"/>
          <w:rFonts w:ascii="仿宋" w:hAnsi="仿宋" w:eastAsia="仿宋"/>
          <w:b/>
          <w:color w:val="000000"/>
          <w:sz w:val="44"/>
          <w:szCs w:val="44"/>
        </w:rPr>
      </w:pPr>
    </w:p>
    <w:p>
      <w:pPr>
        <w:pStyle w:val="20"/>
        <w:keepNext/>
        <w:keepLines/>
        <w:bidi w:val="0"/>
        <w:spacing w:line="500" w:lineRule="exact"/>
        <w:jc w:val="center"/>
        <w:outlineLvl w:val="2"/>
        <w:rPr>
          <w:rStyle w:val="14"/>
          <w:rFonts w:ascii="仿宋" w:hAnsi="仿宋" w:eastAsia="仿宋"/>
          <w:b/>
          <w:color w:val="000000"/>
          <w:sz w:val="44"/>
          <w:szCs w:val="44"/>
        </w:rPr>
      </w:pPr>
    </w:p>
    <w:p>
      <w:pPr>
        <w:pStyle w:val="20"/>
        <w:keepNext/>
        <w:keepLines/>
        <w:bidi w:val="0"/>
        <w:spacing w:line="500" w:lineRule="exact"/>
        <w:jc w:val="center"/>
        <w:outlineLvl w:val="2"/>
        <w:rPr>
          <w:rStyle w:val="14"/>
          <w:rFonts w:ascii="仿宋" w:hAnsi="仿宋" w:eastAsia="仿宋"/>
          <w:b/>
          <w:color w:val="000000"/>
          <w:sz w:val="44"/>
          <w:szCs w:val="44"/>
        </w:rPr>
      </w:pPr>
    </w:p>
    <w:p>
      <w:pPr>
        <w:pStyle w:val="20"/>
        <w:keepNext/>
        <w:keepLines/>
        <w:bidi w:val="0"/>
        <w:spacing w:line="500" w:lineRule="exact"/>
        <w:jc w:val="center"/>
        <w:outlineLvl w:val="2"/>
        <w:rPr>
          <w:rStyle w:val="14"/>
          <w:rFonts w:ascii="仿宋" w:hAnsi="仿宋" w:eastAsia="仿宋"/>
          <w:b/>
          <w:color w:val="000000"/>
          <w:sz w:val="44"/>
          <w:szCs w:val="44"/>
        </w:rPr>
      </w:pPr>
    </w:p>
    <w:p>
      <w:pPr>
        <w:pStyle w:val="20"/>
        <w:keepNext/>
        <w:keepLines/>
        <w:bidi w:val="0"/>
        <w:spacing w:line="500" w:lineRule="exact"/>
        <w:jc w:val="both"/>
        <w:outlineLvl w:val="2"/>
        <w:rPr>
          <w:rStyle w:val="14"/>
          <w:rFonts w:hint="eastAsia" w:ascii="仿宋" w:hAnsi="仿宋" w:eastAsia="仿宋"/>
          <w:b/>
          <w:color w:val="000000"/>
          <w:sz w:val="44"/>
          <w:szCs w:val="44"/>
        </w:rPr>
      </w:pPr>
      <w:bookmarkStart w:id="95" w:name="_Toc26527"/>
    </w:p>
    <w:p>
      <w:pPr>
        <w:pStyle w:val="20"/>
        <w:keepNext/>
        <w:keepLines/>
        <w:bidi w:val="0"/>
        <w:spacing w:line="500" w:lineRule="exact"/>
        <w:jc w:val="both"/>
        <w:outlineLvl w:val="2"/>
        <w:rPr>
          <w:rStyle w:val="14"/>
          <w:rFonts w:hint="eastAsia" w:ascii="仿宋" w:hAnsi="仿宋" w:eastAsia="仿宋"/>
          <w:b/>
          <w:color w:val="000000"/>
          <w:sz w:val="44"/>
          <w:szCs w:val="44"/>
        </w:rPr>
      </w:pPr>
    </w:p>
    <w:p>
      <w:pPr>
        <w:pStyle w:val="20"/>
        <w:keepNext/>
        <w:keepLines/>
        <w:bidi w:val="0"/>
        <w:spacing w:line="500" w:lineRule="exact"/>
        <w:jc w:val="center"/>
        <w:outlineLvl w:val="2"/>
        <w:rPr>
          <w:rStyle w:val="14"/>
          <w:rFonts w:hint="eastAsia" w:ascii="仿宋" w:hAnsi="仿宋" w:eastAsia="仿宋"/>
          <w:b/>
          <w:color w:val="000000"/>
          <w:sz w:val="44"/>
          <w:szCs w:val="44"/>
        </w:rPr>
      </w:pPr>
    </w:p>
    <w:p>
      <w:pPr>
        <w:pStyle w:val="20"/>
        <w:keepNext/>
        <w:keepLines/>
        <w:bidi w:val="0"/>
        <w:spacing w:line="500" w:lineRule="exact"/>
        <w:jc w:val="center"/>
        <w:outlineLvl w:val="2"/>
        <w:rPr>
          <w:rStyle w:val="14"/>
          <w:rFonts w:ascii="仿宋" w:hAnsi="仿宋" w:eastAsia="仿宋"/>
          <w:b/>
          <w:color w:val="000000"/>
          <w:sz w:val="44"/>
          <w:szCs w:val="44"/>
        </w:rPr>
      </w:pPr>
      <w:r>
        <w:rPr>
          <w:rStyle w:val="14"/>
          <w:rFonts w:hint="eastAsia" w:ascii="仿宋" w:hAnsi="仿宋" w:eastAsia="仿宋"/>
          <w:b/>
          <w:color w:val="000000"/>
          <w:sz w:val="44"/>
          <w:szCs w:val="44"/>
        </w:rPr>
        <w:t>第二部分 通用合同条款</w:t>
      </w:r>
      <w:bookmarkEnd w:id="95"/>
    </w:p>
    <w:p>
      <w:pPr>
        <w:pStyle w:val="20"/>
        <w:autoSpaceDE w:val="0"/>
        <w:autoSpaceDN w:val="0"/>
        <w:bidi w:val="0"/>
        <w:adjustRightInd w:val="0"/>
        <w:spacing w:line="500" w:lineRule="exact"/>
        <w:jc w:val="left"/>
        <w:rPr>
          <w:rStyle w:val="14"/>
          <w:rFonts w:ascii="宋体" w:hAnsi="宋体" w:cs="宋体"/>
          <w:color w:val="000000"/>
          <w:sz w:val="24"/>
          <w:szCs w:val="24"/>
        </w:rPr>
      </w:pPr>
      <w:r>
        <w:rPr>
          <w:rStyle w:val="14"/>
          <w:rFonts w:hint="eastAsia" w:ascii="宋体" w:hAnsi="宋体" w:cs="宋体"/>
          <w:color w:val="000000"/>
          <w:sz w:val="24"/>
          <w:szCs w:val="24"/>
        </w:rPr>
        <w:t>执行《建设工程施工合同（示范文本）》（GF-2017-0201）第二部分通用合同条款。</w:t>
      </w:r>
    </w:p>
    <w:bookmarkEnd w:id="89"/>
    <w:bookmarkEnd w:id="90"/>
    <w:bookmarkEnd w:id="91"/>
    <w:bookmarkEnd w:id="92"/>
    <w:bookmarkEnd w:id="93"/>
    <w:bookmarkEnd w:id="94"/>
    <w:p>
      <w:pPr>
        <w:pStyle w:val="20"/>
        <w:bidi w:val="0"/>
        <w:rPr>
          <w:rStyle w:val="14"/>
          <w:rFonts w:ascii="仿宋" w:hAnsi="仿宋" w:eastAsia="仿宋"/>
          <w:color w:val="000000"/>
        </w:rPr>
      </w:pPr>
      <w:bookmarkStart w:id="96" w:name="_Toc351203495"/>
      <w:bookmarkStart w:id="97" w:name="_Toc337558727"/>
      <w:r>
        <w:rPr>
          <w:rStyle w:val="14"/>
          <w:rFonts w:hint="eastAsia" w:ascii="宋体" w:hAnsi="宋体" w:cs="宋体"/>
          <w:color w:val="000000"/>
          <w:sz w:val="24"/>
          <w:szCs w:val="24"/>
        </w:rPr>
        <w:br w:type="page"/>
      </w:r>
    </w:p>
    <w:bookmarkEnd w:id="96"/>
    <w:bookmarkEnd w:id="97"/>
    <w:p>
      <w:pPr>
        <w:pStyle w:val="20"/>
        <w:bidi w:val="0"/>
        <w:jc w:val="center"/>
        <w:outlineLvl w:val="2"/>
        <w:rPr>
          <w:rStyle w:val="14"/>
          <w:rFonts w:ascii="仿宋" w:hAnsi="仿宋" w:eastAsia="仿宋"/>
          <w:b/>
          <w:color w:val="000000"/>
          <w:sz w:val="44"/>
          <w:szCs w:val="44"/>
        </w:rPr>
      </w:pPr>
      <w:bookmarkStart w:id="98" w:name="_Toc351203632"/>
      <w:bookmarkStart w:id="99" w:name="_Toc5799271"/>
      <w:bookmarkStart w:id="100" w:name="_Toc256000061"/>
      <w:bookmarkStart w:id="101" w:name="_Toc256000067"/>
      <w:bookmarkStart w:id="102" w:name="_Toc508182161"/>
      <w:bookmarkStart w:id="103" w:name="_Toc256000064"/>
      <w:r>
        <w:rPr>
          <w:rStyle w:val="14"/>
          <w:rFonts w:hint="eastAsia" w:ascii="仿宋" w:hAnsi="仿宋" w:eastAsia="仿宋"/>
          <w:b/>
          <w:color w:val="000000"/>
          <w:sz w:val="44"/>
          <w:szCs w:val="44"/>
        </w:rPr>
        <w:t>第三部分 专用合同条款</w:t>
      </w:r>
      <w:bookmarkEnd w:id="98"/>
      <w:bookmarkEnd w:id="99"/>
      <w:bookmarkEnd w:id="100"/>
      <w:bookmarkEnd w:id="101"/>
      <w:bookmarkEnd w:id="102"/>
      <w:bookmarkEnd w:id="103"/>
    </w:p>
    <w:p>
      <w:pPr>
        <w:pStyle w:val="20"/>
        <w:keepNext/>
        <w:keepLines/>
        <w:bidi w:val="0"/>
        <w:spacing w:line="500" w:lineRule="exact"/>
        <w:outlineLvl w:val="3"/>
        <w:rPr>
          <w:rStyle w:val="14"/>
          <w:rFonts w:ascii="宋体" w:hAnsi="宋体" w:cs="宋体"/>
          <w:b/>
          <w:bCs/>
          <w:color w:val="000000"/>
          <w:sz w:val="24"/>
          <w:szCs w:val="24"/>
        </w:rPr>
      </w:pPr>
      <w:bookmarkStart w:id="104" w:name="_Toc351203633"/>
      <w:r>
        <w:rPr>
          <w:rStyle w:val="14"/>
          <w:rFonts w:hint="eastAsia" w:ascii="宋体" w:hAnsi="宋体" w:cs="宋体"/>
          <w:b/>
          <w:bCs/>
          <w:color w:val="000000"/>
          <w:sz w:val="24"/>
          <w:szCs w:val="24"/>
        </w:rPr>
        <w:t>1</w:t>
      </w:r>
      <w:bookmarkStart w:id="105" w:name="_Toc297120456"/>
      <w:bookmarkStart w:id="106" w:name="_Toc292559866"/>
      <w:bookmarkStart w:id="107" w:name="_Toc297048342"/>
      <w:bookmarkStart w:id="108" w:name="_Toc292559361"/>
      <w:bookmarkStart w:id="109" w:name="_Toc296503156"/>
      <w:bookmarkStart w:id="110" w:name="_Toc296346657"/>
      <w:bookmarkStart w:id="111" w:name="_Toc296890984"/>
      <w:bookmarkStart w:id="112" w:name="_Toc296944495"/>
      <w:bookmarkStart w:id="113" w:name="_Toc296347155"/>
      <w:bookmarkStart w:id="114" w:name="_Toc296891196"/>
      <w:r>
        <w:rPr>
          <w:rStyle w:val="14"/>
          <w:rFonts w:hint="eastAsia" w:ascii="宋体" w:hAnsi="宋体" w:cs="宋体"/>
          <w:b/>
          <w:bCs/>
          <w:color w:val="000000"/>
          <w:sz w:val="24"/>
          <w:szCs w:val="24"/>
        </w:rPr>
        <w:t>. 一般约定</w:t>
      </w:r>
      <w:bookmarkEnd w:id="104"/>
    </w:p>
    <w:bookmarkEnd w:id="105"/>
    <w:bookmarkEnd w:id="106"/>
    <w:bookmarkEnd w:id="107"/>
    <w:bookmarkEnd w:id="108"/>
    <w:bookmarkEnd w:id="109"/>
    <w:bookmarkEnd w:id="110"/>
    <w:bookmarkEnd w:id="111"/>
    <w:bookmarkEnd w:id="112"/>
    <w:bookmarkEnd w:id="113"/>
    <w:bookmarkEnd w:id="114"/>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1.1 词语定义</w:t>
      </w:r>
    </w:p>
    <w:p>
      <w:pPr>
        <w:pStyle w:val="20"/>
        <w:bidi w:val="0"/>
        <w:spacing w:line="500" w:lineRule="exact"/>
        <w:ind w:firstLine="600" w:firstLineChars="250"/>
        <w:rPr>
          <w:rStyle w:val="14"/>
          <w:rFonts w:ascii="宋体" w:hAnsi="宋体" w:cs="宋体"/>
          <w:color w:val="000000"/>
          <w:sz w:val="24"/>
          <w:szCs w:val="24"/>
        </w:rPr>
      </w:pPr>
      <w:r>
        <w:rPr>
          <w:rStyle w:val="14"/>
          <w:rFonts w:hint="eastAsia" w:ascii="宋体" w:hAnsi="宋体" w:cs="宋体"/>
          <w:color w:val="000000"/>
          <w:sz w:val="24"/>
          <w:szCs w:val="24"/>
        </w:rPr>
        <w:t>1.1.1合同</w:t>
      </w:r>
    </w:p>
    <w:p>
      <w:pPr>
        <w:pStyle w:val="20"/>
        <w:bidi w:val="0"/>
        <w:spacing w:line="500" w:lineRule="exact"/>
        <w:ind w:firstLine="600" w:firstLineChars="250"/>
        <w:rPr>
          <w:rStyle w:val="14"/>
          <w:rFonts w:ascii="宋体" w:hAnsi="宋体" w:cs="宋体"/>
          <w:color w:val="000000"/>
          <w:sz w:val="24"/>
          <w:szCs w:val="24"/>
        </w:rPr>
      </w:pPr>
      <w:r>
        <w:rPr>
          <w:rStyle w:val="14"/>
          <w:rFonts w:hint="eastAsia" w:ascii="宋体" w:hAnsi="宋体" w:cs="宋体"/>
          <w:color w:val="000000"/>
          <w:sz w:val="24"/>
          <w:szCs w:val="24"/>
        </w:rPr>
        <w:t>1.1.1.1其他合同文件包括：</w:t>
      </w:r>
      <w:r>
        <w:rPr>
          <w:rStyle w:val="14"/>
          <w:rFonts w:hint="eastAsia" w:ascii="宋体" w:hAnsi="宋体" w:cs="宋体"/>
          <w:color w:val="000000"/>
          <w:sz w:val="24"/>
          <w:szCs w:val="24"/>
          <w:u w:val="single"/>
        </w:rPr>
        <w:t>(1) 施工竞争性磋商文件（包括修改澄清通知）及答疑、响应文件及附件；(2)明确双方权利、义务的纪要、协议；（3）双方有关工程的合同洽商、变更等书面协议或文件等</w:t>
      </w:r>
      <w:r>
        <w:rPr>
          <w:rStyle w:val="14"/>
          <w:rFonts w:hint="eastAsia" w:ascii="宋体" w:hAnsi="宋体" w:cs="宋体"/>
          <w:color w:val="000000"/>
          <w:sz w:val="24"/>
          <w:szCs w:val="24"/>
        </w:rPr>
        <w:t>。</w:t>
      </w:r>
    </w:p>
    <w:p>
      <w:pPr>
        <w:pStyle w:val="20"/>
        <w:bidi w:val="0"/>
        <w:spacing w:line="500" w:lineRule="exact"/>
        <w:ind w:firstLine="600" w:firstLineChars="250"/>
        <w:rPr>
          <w:rStyle w:val="14"/>
          <w:rFonts w:ascii="宋体" w:hAnsi="宋体" w:cs="宋体"/>
          <w:color w:val="000000"/>
          <w:sz w:val="24"/>
          <w:szCs w:val="24"/>
        </w:rPr>
      </w:pPr>
      <w:r>
        <w:rPr>
          <w:rStyle w:val="14"/>
          <w:rFonts w:hint="eastAsia" w:ascii="宋体" w:hAnsi="宋体" w:cs="宋体"/>
          <w:color w:val="000000"/>
          <w:sz w:val="24"/>
          <w:szCs w:val="24"/>
        </w:rPr>
        <w:t>1.1.2 合同当事人及其他相关方</w:t>
      </w:r>
    </w:p>
    <w:p>
      <w:pPr>
        <w:pStyle w:val="20"/>
        <w:bidi w:val="0"/>
        <w:spacing w:line="500" w:lineRule="exact"/>
        <w:ind w:firstLine="600" w:firstLineChars="250"/>
        <w:rPr>
          <w:rStyle w:val="14"/>
          <w:rFonts w:ascii="宋体" w:hAnsi="宋体" w:cs="宋体"/>
          <w:color w:val="000000"/>
          <w:sz w:val="24"/>
          <w:szCs w:val="24"/>
        </w:rPr>
      </w:pPr>
      <w:r>
        <w:rPr>
          <w:rStyle w:val="14"/>
          <w:rFonts w:hint="eastAsia" w:ascii="宋体" w:hAnsi="宋体" w:cs="宋体"/>
          <w:color w:val="000000"/>
          <w:sz w:val="24"/>
          <w:szCs w:val="24"/>
        </w:rPr>
        <w:t>1.1.2.1监理人：</w:t>
      </w:r>
    </w:p>
    <w:p>
      <w:pPr>
        <w:pStyle w:val="20"/>
        <w:bidi w:val="0"/>
        <w:spacing w:line="500" w:lineRule="exact"/>
        <w:ind w:firstLine="600" w:firstLineChars="250"/>
        <w:rPr>
          <w:rStyle w:val="14"/>
          <w:rFonts w:ascii="宋体" w:hAnsi="宋体" w:cs="宋体"/>
          <w:color w:val="000000"/>
          <w:sz w:val="24"/>
          <w:szCs w:val="24"/>
          <w:u w:val="single"/>
        </w:rPr>
      </w:pPr>
      <w:r>
        <w:rPr>
          <w:rStyle w:val="14"/>
          <w:rFonts w:hint="eastAsia" w:ascii="宋体" w:hAnsi="宋体" w:cs="宋体"/>
          <w:color w:val="000000"/>
          <w:sz w:val="24"/>
          <w:szCs w:val="24"/>
        </w:rPr>
        <w:t>名    称：</w:t>
      </w:r>
      <w:r>
        <w:rPr>
          <w:rStyle w:val="14"/>
          <w:rFonts w:hint="eastAsia" w:ascii="宋体" w:hAnsi="宋体" w:cs="宋体"/>
          <w:color w:val="000000"/>
          <w:sz w:val="24"/>
          <w:szCs w:val="24"/>
          <w:u w:val="single"/>
        </w:rPr>
        <w:t xml:space="preserve">             </w:t>
      </w:r>
    </w:p>
    <w:p>
      <w:pPr>
        <w:pStyle w:val="20"/>
        <w:bidi w:val="0"/>
        <w:spacing w:line="500" w:lineRule="exact"/>
        <w:ind w:firstLine="600" w:firstLineChars="250"/>
        <w:rPr>
          <w:rStyle w:val="14"/>
          <w:rFonts w:ascii="宋体" w:hAnsi="宋体" w:cs="宋体"/>
          <w:color w:val="000000"/>
          <w:sz w:val="24"/>
          <w:szCs w:val="24"/>
        </w:rPr>
      </w:pPr>
      <w:r>
        <w:rPr>
          <w:rStyle w:val="14"/>
          <w:rFonts w:hint="eastAsia" w:ascii="宋体" w:hAnsi="宋体" w:cs="宋体"/>
          <w:color w:val="000000"/>
          <w:sz w:val="24"/>
          <w:szCs w:val="24"/>
        </w:rPr>
        <w:t xml:space="preserve">资质等级： </w:t>
      </w:r>
      <w:r>
        <w:rPr>
          <w:rStyle w:val="14"/>
          <w:rFonts w:hint="eastAsia" w:ascii="宋体" w:hAnsi="宋体" w:cs="宋体"/>
          <w:color w:val="000000"/>
          <w:sz w:val="24"/>
          <w:szCs w:val="24"/>
          <w:u w:val="single"/>
        </w:rPr>
        <w:t xml:space="preserve">               </w:t>
      </w:r>
      <w:r>
        <w:rPr>
          <w:rStyle w:val="14"/>
          <w:rFonts w:hint="eastAsia" w:ascii="宋体" w:hAnsi="宋体" w:cs="宋体"/>
          <w:color w:val="000000"/>
          <w:sz w:val="24"/>
          <w:szCs w:val="24"/>
        </w:rPr>
        <w:t xml:space="preserve"> </w:t>
      </w:r>
    </w:p>
    <w:p>
      <w:pPr>
        <w:pStyle w:val="20"/>
        <w:bidi w:val="0"/>
        <w:spacing w:line="500" w:lineRule="exact"/>
        <w:ind w:firstLine="600" w:firstLineChars="250"/>
        <w:rPr>
          <w:rStyle w:val="14"/>
          <w:rFonts w:ascii="宋体" w:hAnsi="宋体" w:cs="宋体"/>
          <w:color w:val="000000"/>
          <w:sz w:val="24"/>
          <w:szCs w:val="24"/>
        </w:rPr>
      </w:pPr>
      <w:r>
        <w:rPr>
          <w:rStyle w:val="14"/>
          <w:rFonts w:hint="eastAsia" w:ascii="宋体" w:hAnsi="宋体" w:cs="宋体"/>
          <w:color w:val="000000"/>
          <w:sz w:val="24"/>
          <w:szCs w:val="24"/>
        </w:rPr>
        <w:t xml:space="preserve">联系电话： </w:t>
      </w:r>
      <w:r>
        <w:rPr>
          <w:rStyle w:val="14"/>
          <w:rFonts w:hint="eastAsia" w:ascii="宋体" w:hAnsi="宋体" w:cs="宋体"/>
          <w:color w:val="000000"/>
          <w:sz w:val="24"/>
          <w:szCs w:val="24"/>
          <w:u w:val="single"/>
        </w:rPr>
        <w:t xml:space="preserve">               </w:t>
      </w:r>
    </w:p>
    <w:p>
      <w:pPr>
        <w:pStyle w:val="20"/>
        <w:bidi w:val="0"/>
        <w:spacing w:line="500" w:lineRule="exact"/>
        <w:ind w:firstLine="600" w:firstLineChars="250"/>
        <w:rPr>
          <w:rStyle w:val="14"/>
          <w:rFonts w:ascii="宋体" w:hAnsi="宋体" w:cs="宋体"/>
          <w:color w:val="000000"/>
          <w:sz w:val="24"/>
          <w:szCs w:val="24"/>
        </w:rPr>
      </w:pPr>
      <w:r>
        <w:rPr>
          <w:rStyle w:val="14"/>
          <w:rFonts w:hint="eastAsia" w:ascii="宋体" w:hAnsi="宋体" w:cs="宋体"/>
          <w:color w:val="000000"/>
          <w:sz w:val="24"/>
          <w:szCs w:val="24"/>
        </w:rPr>
        <w:t>电子邮箱：</w:t>
      </w:r>
      <w:r>
        <w:rPr>
          <w:rStyle w:val="14"/>
          <w:rFonts w:hint="eastAsia" w:ascii="宋体" w:hAnsi="宋体" w:cs="宋体"/>
          <w:color w:val="000000"/>
          <w:sz w:val="24"/>
          <w:szCs w:val="24"/>
          <w:u w:val="single"/>
        </w:rPr>
        <w:t xml:space="preserve">                </w:t>
      </w:r>
    </w:p>
    <w:p>
      <w:pPr>
        <w:pStyle w:val="20"/>
        <w:bidi w:val="0"/>
        <w:spacing w:line="500" w:lineRule="exact"/>
        <w:ind w:firstLine="600" w:firstLineChars="250"/>
        <w:rPr>
          <w:rStyle w:val="14"/>
          <w:rFonts w:ascii="宋体" w:hAnsi="宋体" w:cs="宋体"/>
          <w:color w:val="000000"/>
          <w:sz w:val="24"/>
          <w:szCs w:val="24"/>
          <w:u w:val="single"/>
        </w:rPr>
      </w:pPr>
      <w:r>
        <w:rPr>
          <w:rStyle w:val="14"/>
          <w:rFonts w:hint="eastAsia" w:ascii="宋体" w:hAnsi="宋体" w:cs="宋体"/>
          <w:color w:val="000000"/>
          <w:sz w:val="24"/>
          <w:szCs w:val="24"/>
        </w:rPr>
        <w:t xml:space="preserve">通信地址： </w:t>
      </w:r>
      <w:r>
        <w:rPr>
          <w:rStyle w:val="14"/>
          <w:rFonts w:hint="eastAsia" w:ascii="宋体" w:hAnsi="宋体" w:cs="宋体"/>
          <w:color w:val="000000"/>
          <w:sz w:val="24"/>
          <w:szCs w:val="24"/>
          <w:u w:val="single"/>
        </w:rPr>
        <w:t xml:space="preserve">                </w:t>
      </w:r>
    </w:p>
    <w:p>
      <w:pPr>
        <w:pStyle w:val="20"/>
        <w:bidi w:val="0"/>
        <w:spacing w:line="500" w:lineRule="exact"/>
        <w:ind w:firstLine="600" w:firstLineChars="250"/>
        <w:rPr>
          <w:rStyle w:val="14"/>
          <w:rFonts w:ascii="宋体" w:hAnsi="宋体" w:cs="宋体"/>
          <w:color w:val="000000"/>
          <w:sz w:val="24"/>
          <w:szCs w:val="24"/>
        </w:rPr>
      </w:pPr>
      <w:r>
        <w:rPr>
          <w:rStyle w:val="14"/>
          <w:rFonts w:hint="eastAsia" w:ascii="宋体" w:hAnsi="宋体" w:cs="宋体"/>
          <w:color w:val="000000"/>
          <w:sz w:val="24"/>
          <w:szCs w:val="24"/>
        </w:rPr>
        <w:t>1.1.2.2 设计人：</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名    称：            </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资质类别和等级：</w:t>
      </w:r>
      <w:r>
        <w:rPr>
          <w:rStyle w:val="14"/>
          <w:rFonts w:hint="eastAsia" w:ascii="宋体" w:hAnsi="宋体" w:cs="宋体"/>
          <w:color w:val="000000"/>
          <w:sz w:val="24"/>
          <w:szCs w:val="24"/>
          <w:u w:val="single"/>
        </w:rPr>
        <w:t xml:space="preserve">         </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联系电话：</w:t>
      </w:r>
      <w:r>
        <w:rPr>
          <w:rStyle w:val="14"/>
          <w:rFonts w:hint="eastAsia" w:ascii="宋体" w:hAnsi="宋体" w:cs="宋体"/>
          <w:color w:val="000000"/>
          <w:sz w:val="24"/>
          <w:szCs w:val="24"/>
          <w:u w:val="single"/>
        </w:rPr>
        <w:t>          </w:t>
      </w:r>
      <w:r>
        <w:rPr>
          <w:rStyle w:val="14"/>
          <w:rFonts w:hint="eastAsia" w:ascii="宋体" w:hAnsi="宋体" w:cs="宋体"/>
          <w:color w:val="000000"/>
          <w:sz w:val="24"/>
          <w:szCs w:val="24"/>
        </w:rPr>
        <w:t>   </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电子信箱：</w:t>
      </w:r>
      <w:r>
        <w:rPr>
          <w:rStyle w:val="14"/>
          <w:rFonts w:hint="eastAsia" w:ascii="宋体" w:hAnsi="宋体" w:cs="宋体"/>
          <w:color w:val="000000"/>
          <w:sz w:val="24"/>
          <w:szCs w:val="24"/>
          <w:u w:val="single"/>
        </w:rPr>
        <w:t>          </w:t>
      </w:r>
      <w:r>
        <w:rPr>
          <w:rStyle w:val="14"/>
          <w:rFonts w:hint="eastAsia" w:ascii="宋体" w:hAnsi="宋体" w:cs="宋体"/>
          <w:color w:val="000000"/>
          <w:sz w:val="24"/>
          <w:szCs w:val="24"/>
        </w:rPr>
        <w:t>   </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通信地址：</w:t>
      </w:r>
      <w:r>
        <w:rPr>
          <w:rStyle w:val="14"/>
          <w:rFonts w:hint="eastAsia" w:ascii="宋体" w:hAnsi="宋体" w:cs="宋体"/>
          <w:color w:val="000000"/>
          <w:sz w:val="24"/>
          <w:szCs w:val="24"/>
          <w:u w:val="single"/>
        </w:rPr>
        <w:t>                 </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1.1.3 工程和设备</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1.1.3.1 作为施工现场组成部分的其他场所包括：与发包人协商。</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1.1.3.2 永久占地包括：与发包人协商。</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1.1.3.3 临时占地包括：与发包人协商。</w:t>
      </w:r>
    </w:p>
    <w:p>
      <w:pPr>
        <w:pStyle w:val="20"/>
        <w:keepNext/>
        <w:keepLines/>
        <w:bidi w:val="0"/>
        <w:spacing w:line="500" w:lineRule="exact"/>
        <w:outlineLvl w:val="4"/>
        <w:rPr>
          <w:rStyle w:val="14"/>
          <w:rFonts w:ascii="宋体" w:hAnsi="宋体" w:cs="宋体"/>
          <w:bCs/>
          <w:color w:val="000000"/>
          <w:sz w:val="24"/>
          <w:szCs w:val="24"/>
        </w:rPr>
      </w:pPr>
      <w:r>
        <w:rPr>
          <w:rStyle w:val="14"/>
          <w:rFonts w:hint="eastAsia" w:ascii="宋体" w:hAnsi="宋体" w:cs="宋体"/>
          <w:bCs/>
          <w:color w:val="000000"/>
          <w:sz w:val="24"/>
          <w:szCs w:val="24"/>
        </w:rPr>
        <w:t xml:space="preserve">1.2法律 </w:t>
      </w:r>
    </w:p>
    <w:p>
      <w:pPr>
        <w:pStyle w:val="20"/>
        <w:autoSpaceDE w:val="0"/>
        <w:autoSpaceDN w:val="0"/>
        <w:bidi w:val="0"/>
        <w:adjustRightInd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适用于合同的其他规范性文件：</w:t>
      </w:r>
      <w:r>
        <w:rPr>
          <w:rStyle w:val="14"/>
          <w:rFonts w:hint="eastAsia" w:ascii="宋体" w:hAnsi="宋体" w:cs="宋体"/>
          <w:color w:val="000000"/>
          <w:sz w:val="24"/>
          <w:szCs w:val="24"/>
          <w:u w:val="single"/>
        </w:rPr>
        <w:t>本工程适用中华人民共和国现行的法律、行政法规</w:t>
      </w:r>
      <w:r>
        <w:rPr>
          <w:rStyle w:val="14"/>
          <w:rFonts w:hint="eastAsia" w:ascii="宋体" w:hAnsi="宋体" w:cs="宋体"/>
          <w:color w:val="000000"/>
          <w:sz w:val="24"/>
          <w:szCs w:val="24"/>
        </w:rPr>
        <w:t>。</w:t>
      </w:r>
    </w:p>
    <w:p>
      <w:pPr>
        <w:pStyle w:val="20"/>
        <w:keepNext/>
        <w:keepLines/>
        <w:bidi w:val="0"/>
        <w:spacing w:line="500" w:lineRule="exact"/>
        <w:outlineLvl w:val="4"/>
        <w:rPr>
          <w:rStyle w:val="14"/>
          <w:rFonts w:ascii="宋体" w:hAnsi="宋体" w:cs="宋体"/>
          <w:bCs/>
          <w:color w:val="000000"/>
          <w:sz w:val="24"/>
          <w:szCs w:val="24"/>
        </w:rPr>
      </w:pPr>
      <w:r>
        <w:rPr>
          <w:rStyle w:val="14"/>
          <w:rFonts w:hint="eastAsia" w:ascii="宋体" w:hAnsi="宋体" w:cs="宋体"/>
          <w:bCs/>
          <w:color w:val="000000"/>
          <w:sz w:val="24"/>
          <w:szCs w:val="24"/>
        </w:rPr>
        <w:t>1.3 标准和规范</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1.3.1适用于工程的标准规范包括：</w:t>
      </w:r>
      <w:r>
        <w:rPr>
          <w:rStyle w:val="14"/>
          <w:rFonts w:hint="eastAsia" w:ascii="宋体" w:hAnsi="宋体" w:cs="宋体"/>
          <w:color w:val="000000"/>
          <w:sz w:val="24"/>
          <w:u w:val="single"/>
        </w:rPr>
        <w:t>《建筑工程施工质量检查与验收手册》等现行的与本工程有关的国家标准、行业标准、规范及省、市有关规定</w:t>
      </w:r>
      <w:r>
        <w:rPr>
          <w:rStyle w:val="14"/>
          <w:rFonts w:hint="eastAsia" w:ascii="宋体" w:hAnsi="宋体" w:cs="宋体"/>
          <w:color w:val="000000"/>
          <w:sz w:val="24"/>
        </w:rPr>
        <w:t>。</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1.3.2 发包人提供国外标准、规范的名称：</w:t>
      </w:r>
      <w:r>
        <w:rPr>
          <w:rStyle w:val="14"/>
          <w:rFonts w:hint="eastAsia" w:ascii="宋体" w:hAnsi="宋体" w:cs="宋体"/>
          <w:color w:val="000000"/>
          <w:sz w:val="24"/>
          <w:u w:val="single"/>
        </w:rPr>
        <w:t>承包人自备国内现行适用的标准、规范、规程及配套图集</w:t>
      </w:r>
      <w:r>
        <w:rPr>
          <w:rStyle w:val="14"/>
          <w:rFonts w:hint="eastAsia" w:ascii="宋体" w:hAnsi="宋体" w:cs="宋体"/>
          <w:color w:val="000000"/>
          <w:sz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1.3.3发包人对工程的技术标准和功能要求的特殊要求：</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keepNext/>
        <w:keepLines/>
        <w:bidi w:val="0"/>
        <w:spacing w:line="500" w:lineRule="exact"/>
        <w:jc w:val="left"/>
        <w:outlineLvl w:val="4"/>
        <w:rPr>
          <w:rStyle w:val="14"/>
          <w:rFonts w:ascii="宋体" w:hAnsi="宋体" w:cs="宋体"/>
          <w:bCs/>
          <w:color w:val="000000"/>
          <w:sz w:val="24"/>
          <w:szCs w:val="24"/>
        </w:rPr>
      </w:pPr>
      <w:r>
        <w:rPr>
          <w:rStyle w:val="14"/>
          <w:rFonts w:hint="eastAsia" w:ascii="宋体" w:hAnsi="宋体" w:cs="宋体"/>
          <w:bCs/>
          <w:color w:val="000000"/>
          <w:sz w:val="24"/>
          <w:szCs w:val="24"/>
        </w:rPr>
        <w:t>1.4 合同文件的优先顺序</w:t>
      </w:r>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合同文件组成及优先顺序为：</w:t>
      </w:r>
      <w:r>
        <w:rPr>
          <w:rStyle w:val="14"/>
          <w:rFonts w:hint="eastAsia" w:ascii="宋体" w:hAnsi="宋体" w:cs="宋体"/>
          <w:color w:val="000000"/>
          <w:sz w:val="24"/>
          <w:szCs w:val="24"/>
          <w:u w:val="single"/>
        </w:rPr>
        <w:t>（1）本合同协议书及补充协议；（2）成交通知书；（3）竞争性磋商文件、响应文件及其附录；（4）本合同专用条款；（5）本合同通用条款；（6）技术标准和要求；（7）图纸（如有）；（8）已标价工程量清单；（9）其他合同文件。</w:t>
      </w:r>
    </w:p>
    <w:p>
      <w:pPr>
        <w:pStyle w:val="20"/>
        <w:keepNext/>
        <w:keepLines/>
        <w:bidi w:val="0"/>
        <w:spacing w:line="500" w:lineRule="exact"/>
        <w:outlineLvl w:val="4"/>
        <w:rPr>
          <w:rStyle w:val="14"/>
          <w:rFonts w:ascii="宋体" w:hAnsi="宋体" w:cs="宋体"/>
          <w:bCs/>
          <w:color w:val="000000"/>
          <w:sz w:val="24"/>
          <w:szCs w:val="24"/>
        </w:rPr>
      </w:pPr>
      <w:r>
        <w:rPr>
          <w:rStyle w:val="14"/>
          <w:rFonts w:hint="eastAsia" w:ascii="宋体" w:hAnsi="宋体" w:cs="宋体"/>
          <w:bCs/>
          <w:color w:val="000000"/>
          <w:sz w:val="24"/>
          <w:szCs w:val="24"/>
        </w:rPr>
        <w:t>1.5 承包人文件</w:t>
      </w:r>
      <w:r>
        <w:rPr>
          <w:rStyle w:val="14"/>
          <w:rFonts w:hint="eastAsia" w:ascii="宋体" w:hAnsi="宋体" w:cs="宋体"/>
          <w:bCs/>
          <w:color w:val="000000"/>
          <w:sz w:val="24"/>
          <w:szCs w:val="24"/>
        </w:rPr>
        <w:tab/>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1.5.1 文件的提供</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发包人向承包人提供文件的内容：</w:t>
      </w:r>
      <w:r>
        <w:rPr>
          <w:rStyle w:val="14"/>
          <w:rFonts w:hint="eastAsia" w:ascii="宋体" w:hAnsi="宋体" w:cs="宋体"/>
          <w:color w:val="000000"/>
          <w:sz w:val="24"/>
          <w:szCs w:val="24"/>
          <w:u w:val="single"/>
        </w:rPr>
        <w:t>清单中所含内容</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1.5.2 承包人文件</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color w:val="000000"/>
          <w:sz w:val="24"/>
          <w:szCs w:val="24"/>
        </w:rPr>
        <w:t>需要由承包人提供的文件，包括：</w:t>
      </w:r>
      <w:r>
        <w:rPr>
          <w:rStyle w:val="14"/>
          <w:rFonts w:hint="eastAsia" w:ascii="宋体" w:hAnsi="宋体" w:cs="宋体"/>
          <w:color w:val="000000"/>
          <w:sz w:val="24"/>
          <w:szCs w:val="24"/>
          <w:u w:val="single"/>
        </w:rPr>
        <w:t>1、文件提交计划。2、临时工程文件。3、施工总进度计划（应采用关键线路法编制网络图）。4、施工总布置图。5、主要施工方法和措施。6、开工报告等；</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承包人提供的文件的期限为：</w:t>
      </w:r>
      <w:r>
        <w:rPr>
          <w:rStyle w:val="14"/>
          <w:rFonts w:hint="eastAsia" w:ascii="宋体" w:hAnsi="宋体" w:cs="宋体"/>
          <w:color w:val="000000"/>
          <w:sz w:val="24"/>
          <w:szCs w:val="24"/>
          <w:u w:val="single"/>
        </w:rPr>
        <w:t>开工前</w:t>
      </w:r>
      <w:r>
        <w:rPr>
          <w:rStyle w:val="14"/>
          <w:rFonts w:hint="eastAsia" w:ascii="宋体" w:hAnsi="宋体" w:cs="宋体"/>
          <w:color w:val="000000"/>
          <w:sz w:val="24"/>
          <w:szCs w:val="24"/>
        </w:rPr>
        <w:t>；</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承包人提供的文件的数量为：与发包人协商；</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承包人提供的文件的形式为：与发包人协商；</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发包人审批承包人文件的期限：与发包人协商。</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1.5.3 现场图纸准备</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关于现场图纸准备的约定：</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keepNext/>
        <w:keepLines/>
        <w:bidi w:val="0"/>
        <w:spacing w:line="500" w:lineRule="exact"/>
        <w:outlineLvl w:val="4"/>
        <w:rPr>
          <w:rStyle w:val="14"/>
          <w:rFonts w:ascii="宋体" w:hAnsi="宋体" w:cs="宋体"/>
          <w:bCs/>
          <w:color w:val="000000"/>
          <w:sz w:val="24"/>
          <w:szCs w:val="24"/>
        </w:rPr>
      </w:pPr>
      <w:r>
        <w:rPr>
          <w:rStyle w:val="14"/>
          <w:rFonts w:hint="eastAsia" w:ascii="宋体" w:hAnsi="宋体" w:cs="宋体"/>
          <w:bCs/>
          <w:color w:val="000000"/>
          <w:sz w:val="24"/>
          <w:szCs w:val="24"/>
        </w:rPr>
        <w:t>1.6 联络</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1.6.1发包人和承包人应当在</w:t>
      </w:r>
      <w:r>
        <w:rPr>
          <w:rStyle w:val="14"/>
          <w:rFonts w:hint="eastAsia" w:ascii="宋体" w:hAnsi="宋体" w:cs="宋体"/>
          <w:color w:val="000000"/>
          <w:sz w:val="24"/>
          <w:szCs w:val="24"/>
          <w:u w:val="single"/>
        </w:rPr>
        <w:t xml:space="preserve">3 </w:t>
      </w:r>
      <w:r>
        <w:rPr>
          <w:rStyle w:val="14"/>
          <w:rFonts w:hint="eastAsia" w:ascii="宋体" w:hAnsi="宋体" w:cs="宋体"/>
          <w:color w:val="000000"/>
          <w:sz w:val="24"/>
          <w:szCs w:val="24"/>
        </w:rPr>
        <w:t>天内将与合同有关的通知、批准、证明、证书、指示、指令、要求、请求、同意、意见、确定和决定等书面函件送达对方当事人。</w:t>
      </w:r>
    </w:p>
    <w:p>
      <w:pPr>
        <w:pStyle w:val="20"/>
        <w:bidi w:val="0"/>
        <w:spacing w:line="500" w:lineRule="exact"/>
        <w:ind w:firstLine="360" w:firstLineChars="150"/>
        <w:rPr>
          <w:rStyle w:val="14"/>
          <w:rFonts w:ascii="宋体" w:hAnsi="宋体" w:cs="宋体"/>
          <w:color w:val="000000"/>
          <w:sz w:val="24"/>
          <w:szCs w:val="24"/>
        </w:rPr>
      </w:pPr>
      <w:r>
        <w:rPr>
          <w:rStyle w:val="14"/>
          <w:rFonts w:hint="eastAsia" w:ascii="宋体" w:hAnsi="宋体" w:cs="宋体"/>
          <w:color w:val="000000"/>
          <w:sz w:val="24"/>
          <w:szCs w:val="24"/>
        </w:rPr>
        <w:t>1.6.2 发包人接收文件的地点：与发包人协商；</w:t>
      </w:r>
    </w:p>
    <w:p>
      <w:pPr>
        <w:pStyle w:val="20"/>
        <w:bidi w:val="0"/>
        <w:spacing w:line="500" w:lineRule="exact"/>
        <w:ind w:firstLine="1200" w:firstLineChars="500"/>
        <w:rPr>
          <w:rStyle w:val="14"/>
          <w:rFonts w:ascii="宋体" w:hAnsi="宋体" w:cs="宋体"/>
          <w:color w:val="000000"/>
          <w:sz w:val="24"/>
          <w:szCs w:val="24"/>
        </w:rPr>
      </w:pPr>
      <w:r>
        <w:rPr>
          <w:rStyle w:val="14"/>
          <w:rFonts w:hint="eastAsia" w:ascii="宋体" w:hAnsi="宋体" w:cs="宋体"/>
          <w:color w:val="000000"/>
          <w:sz w:val="24"/>
          <w:szCs w:val="24"/>
        </w:rPr>
        <w:t>发包人指定的接收人为：与发包人协商；</w:t>
      </w:r>
    </w:p>
    <w:p>
      <w:pPr>
        <w:pStyle w:val="20"/>
        <w:bidi w:val="0"/>
        <w:spacing w:line="500" w:lineRule="exact"/>
        <w:ind w:firstLine="1200" w:firstLineChars="500"/>
        <w:rPr>
          <w:rStyle w:val="14"/>
          <w:rFonts w:ascii="宋体" w:hAnsi="宋体" w:cs="宋体"/>
          <w:color w:val="000000"/>
          <w:sz w:val="24"/>
          <w:szCs w:val="24"/>
        </w:rPr>
      </w:pPr>
      <w:r>
        <w:rPr>
          <w:rStyle w:val="14"/>
          <w:rFonts w:hint="eastAsia" w:ascii="宋体" w:hAnsi="宋体" w:cs="宋体"/>
          <w:color w:val="000000"/>
          <w:sz w:val="24"/>
          <w:szCs w:val="24"/>
        </w:rPr>
        <w:t>承包人接收文件的地点：与发包人协商；</w:t>
      </w:r>
    </w:p>
    <w:p>
      <w:pPr>
        <w:pStyle w:val="20"/>
        <w:bidi w:val="0"/>
        <w:spacing w:line="500" w:lineRule="exact"/>
        <w:ind w:firstLine="1200" w:firstLineChars="500"/>
        <w:rPr>
          <w:rStyle w:val="14"/>
          <w:rFonts w:ascii="宋体" w:hAnsi="宋体" w:cs="宋体"/>
          <w:color w:val="000000"/>
          <w:sz w:val="24"/>
          <w:szCs w:val="24"/>
        </w:rPr>
      </w:pPr>
      <w:r>
        <w:rPr>
          <w:rStyle w:val="14"/>
          <w:rFonts w:hint="eastAsia" w:ascii="宋体" w:hAnsi="宋体" w:cs="宋体"/>
          <w:color w:val="000000"/>
          <w:sz w:val="24"/>
          <w:szCs w:val="24"/>
        </w:rPr>
        <w:t>承包人指定的接收人为：与发包人协商；</w:t>
      </w:r>
    </w:p>
    <w:p>
      <w:pPr>
        <w:pStyle w:val="20"/>
        <w:bidi w:val="0"/>
        <w:spacing w:line="500" w:lineRule="exact"/>
        <w:ind w:firstLine="1200" w:firstLineChars="500"/>
        <w:rPr>
          <w:rStyle w:val="14"/>
          <w:rFonts w:ascii="宋体" w:hAnsi="宋体" w:cs="宋体"/>
          <w:color w:val="000000"/>
          <w:sz w:val="24"/>
          <w:szCs w:val="24"/>
        </w:rPr>
      </w:pPr>
      <w:r>
        <w:rPr>
          <w:rStyle w:val="14"/>
          <w:rFonts w:hint="eastAsia" w:ascii="宋体" w:hAnsi="宋体" w:cs="宋体"/>
          <w:color w:val="000000"/>
          <w:sz w:val="24"/>
          <w:szCs w:val="24"/>
        </w:rPr>
        <w:t>监理人接收文件的地点：与发包人协商。</w:t>
      </w:r>
    </w:p>
    <w:p>
      <w:pPr>
        <w:pStyle w:val="20"/>
        <w:bidi w:val="0"/>
        <w:spacing w:line="500" w:lineRule="exact"/>
        <w:ind w:firstLine="1200" w:firstLineChars="500"/>
        <w:rPr>
          <w:rStyle w:val="14"/>
          <w:rFonts w:hint="eastAsia" w:ascii="宋体" w:hAnsi="宋体" w:cs="宋体"/>
          <w:color w:val="000000"/>
          <w:sz w:val="24"/>
          <w:szCs w:val="24"/>
        </w:rPr>
      </w:pPr>
      <w:r>
        <w:rPr>
          <w:rStyle w:val="14"/>
          <w:rFonts w:hint="eastAsia" w:ascii="宋体" w:hAnsi="宋体" w:cs="宋体"/>
          <w:color w:val="000000"/>
          <w:sz w:val="24"/>
          <w:szCs w:val="24"/>
        </w:rPr>
        <w:t>监理人指定的接收人为：与发包人协商</w:t>
      </w:r>
    </w:p>
    <w:p>
      <w:pPr>
        <w:pStyle w:val="20"/>
        <w:bidi w:val="0"/>
        <w:spacing w:line="500" w:lineRule="exact"/>
        <w:rPr>
          <w:rStyle w:val="14"/>
          <w:rFonts w:ascii="宋体" w:hAnsi="宋体" w:cs="宋体"/>
          <w:bCs/>
          <w:color w:val="000000"/>
          <w:sz w:val="24"/>
          <w:szCs w:val="24"/>
        </w:rPr>
      </w:pPr>
      <w:r>
        <w:rPr>
          <w:rStyle w:val="14"/>
          <w:rFonts w:hint="eastAsia" w:ascii="宋体" w:hAnsi="宋体" w:cs="宋体"/>
          <w:bCs/>
          <w:color w:val="000000"/>
          <w:sz w:val="24"/>
          <w:szCs w:val="24"/>
        </w:rPr>
        <w:t>1.7 交通运输</w:t>
      </w:r>
    </w:p>
    <w:p>
      <w:pPr>
        <w:pStyle w:val="20"/>
        <w:bidi w:val="0"/>
        <w:spacing w:line="500" w:lineRule="exact"/>
        <w:ind w:firstLine="360" w:firstLineChars="150"/>
        <w:rPr>
          <w:rStyle w:val="14"/>
          <w:rFonts w:ascii="宋体" w:hAnsi="宋体" w:cs="宋体"/>
          <w:color w:val="000000"/>
          <w:sz w:val="24"/>
          <w:szCs w:val="24"/>
        </w:rPr>
      </w:pPr>
      <w:r>
        <w:rPr>
          <w:rStyle w:val="14"/>
          <w:rFonts w:hint="eastAsia" w:ascii="宋体" w:hAnsi="宋体" w:cs="宋体"/>
          <w:color w:val="000000"/>
          <w:sz w:val="24"/>
          <w:szCs w:val="24"/>
        </w:rPr>
        <w:t>1</w:t>
      </w:r>
      <w:bookmarkStart w:id="115" w:name="_Toc300934943"/>
      <w:bookmarkStart w:id="116" w:name="_Toc312677986"/>
      <w:bookmarkStart w:id="117" w:name="_Toc304295521"/>
      <w:bookmarkStart w:id="118" w:name="_Toc318581155"/>
      <w:bookmarkStart w:id="119" w:name="_Toc303539100"/>
      <w:r>
        <w:rPr>
          <w:rStyle w:val="14"/>
          <w:rFonts w:hint="eastAsia" w:ascii="宋体" w:hAnsi="宋体" w:cs="宋体"/>
          <w:color w:val="000000"/>
          <w:sz w:val="24"/>
          <w:szCs w:val="24"/>
        </w:rPr>
        <w:t>.7.1 出入现场的权利</w:t>
      </w:r>
    </w:p>
    <w:p>
      <w:pPr>
        <w:pStyle w:val="20"/>
        <w:bidi w:val="0"/>
        <w:spacing w:line="500" w:lineRule="exact"/>
        <w:ind w:firstLine="420"/>
        <w:rPr>
          <w:rStyle w:val="14"/>
          <w:rFonts w:ascii="宋体" w:hAnsi="宋体" w:cs="宋体"/>
          <w:color w:val="000000"/>
          <w:sz w:val="24"/>
          <w:szCs w:val="24"/>
        </w:rPr>
      </w:pPr>
      <w:r>
        <w:rPr>
          <w:rStyle w:val="14"/>
          <w:rFonts w:hint="eastAsia" w:ascii="宋体" w:hAnsi="宋体" w:cs="宋体"/>
          <w:color w:val="000000"/>
          <w:sz w:val="24"/>
          <w:szCs w:val="24"/>
        </w:rPr>
        <w:t>关于出入现场的权利的约定</w:t>
      </w:r>
      <w:bookmarkEnd w:id="115"/>
      <w:bookmarkEnd w:id="116"/>
      <w:bookmarkEnd w:id="117"/>
      <w:bookmarkEnd w:id="118"/>
      <w:bookmarkEnd w:id="119"/>
      <w:r>
        <w:rPr>
          <w:rStyle w:val="14"/>
          <w:rFonts w:hint="eastAsia" w:ascii="宋体" w:hAnsi="宋体" w:cs="宋体"/>
          <w:color w:val="000000"/>
          <w:sz w:val="24"/>
          <w:szCs w:val="24"/>
        </w:rPr>
        <w:t>：所有进出的作业人员必须佩带由发包人统一制定的出入证，</w:t>
      </w:r>
      <w:r>
        <w:rPr>
          <w:rStyle w:val="14"/>
          <w:rFonts w:hint="eastAsia" w:ascii="宋体" w:hAnsi="宋体" w:cs="宋体"/>
          <w:color w:val="000000"/>
          <w:sz w:val="24"/>
          <w:szCs w:val="24"/>
          <w:u w:val="single"/>
        </w:rPr>
        <w:t>才能进入施工现场，</w:t>
      </w:r>
      <w:r>
        <w:rPr>
          <w:rStyle w:val="14"/>
          <w:rFonts w:hint="eastAsia" w:ascii="宋体" w:hAnsi="宋体" w:cs="宋体"/>
          <w:color w:val="000000"/>
          <w:sz w:val="24"/>
          <w:szCs w:val="24"/>
        </w:rPr>
        <w:t>费用由承包人承担</w:t>
      </w:r>
      <w:r>
        <w:rPr>
          <w:rStyle w:val="14"/>
          <w:rFonts w:ascii="宋体" w:hAnsi="宋体" w:cs="宋体"/>
          <w:color w:val="000000"/>
          <w:sz w:val="24"/>
          <w:szCs w:val="24"/>
        </w:rPr>
        <w:t>；</w:t>
      </w:r>
      <w:r>
        <w:rPr>
          <w:rStyle w:val="14"/>
          <w:rFonts w:hint="eastAsia" w:ascii="宋体" w:hAnsi="宋体" w:cs="宋体"/>
          <w:color w:val="000000"/>
          <w:sz w:val="24"/>
          <w:szCs w:val="24"/>
          <w:u w:val="single"/>
        </w:rPr>
        <w:t>其他无关人员一律不能进入施工现场，如果擅自进入现场，由此而产生的后果由承包人自行负责</w:t>
      </w:r>
      <w:r>
        <w:rPr>
          <w:rStyle w:val="14"/>
          <w:rFonts w:hint="eastAsia" w:ascii="宋体" w:hAnsi="宋体" w:cs="宋体"/>
          <w:color w:val="000000"/>
          <w:sz w:val="24"/>
          <w:szCs w:val="24"/>
        </w:rPr>
        <w:t>。</w:t>
      </w:r>
    </w:p>
    <w:p>
      <w:pPr>
        <w:pStyle w:val="20"/>
        <w:bidi w:val="0"/>
        <w:spacing w:line="500" w:lineRule="exact"/>
        <w:ind w:firstLine="360" w:firstLineChars="150"/>
        <w:rPr>
          <w:rStyle w:val="14"/>
          <w:rFonts w:ascii="宋体" w:hAnsi="宋体" w:cs="宋体"/>
          <w:color w:val="000000"/>
          <w:sz w:val="24"/>
          <w:szCs w:val="24"/>
        </w:rPr>
      </w:pPr>
      <w:r>
        <w:rPr>
          <w:rStyle w:val="14"/>
          <w:rFonts w:hint="eastAsia" w:ascii="宋体" w:hAnsi="宋体" w:cs="宋体"/>
          <w:color w:val="000000"/>
          <w:sz w:val="24"/>
          <w:szCs w:val="24"/>
        </w:rPr>
        <w:t>1</w:t>
      </w:r>
      <w:bookmarkStart w:id="120" w:name="_Toc318581156"/>
      <w:bookmarkStart w:id="121" w:name="_Toc300934944"/>
      <w:bookmarkStart w:id="122" w:name="_Toc304295522"/>
      <w:bookmarkStart w:id="123" w:name="_Toc303539101"/>
      <w:bookmarkStart w:id="124" w:name="_Toc312677987"/>
      <w:r>
        <w:rPr>
          <w:rStyle w:val="14"/>
          <w:rFonts w:hint="eastAsia" w:ascii="宋体" w:hAnsi="宋体" w:cs="宋体"/>
          <w:color w:val="000000"/>
          <w:sz w:val="24"/>
          <w:szCs w:val="24"/>
        </w:rPr>
        <w:t>.7.2 场内交通</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关于场外交通和场内交通的边界的约定：</w:t>
      </w:r>
      <w:r>
        <w:rPr>
          <w:rStyle w:val="14"/>
          <w:rFonts w:hint="eastAsia" w:ascii="宋体" w:hAnsi="宋体" w:cs="宋体"/>
          <w:color w:val="000000"/>
          <w:sz w:val="24"/>
          <w:szCs w:val="24"/>
          <w:u w:val="single"/>
        </w:rPr>
        <w:t>施工场地内和本项目有关的道路</w:t>
      </w:r>
      <w:r>
        <w:rPr>
          <w:rStyle w:val="14"/>
          <w:rFonts w:hint="eastAsia" w:ascii="宋体" w:hAnsi="宋体" w:cs="宋体"/>
          <w:color w:val="000000"/>
          <w:sz w:val="24"/>
          <w:szCs w:val="24"/>
        </w:rPr>
        <w:t>。</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color w:val="000000"/>
          <w:sz w:val="24"/>
          <w:szCs w:val="24"/>
        </w:rPr>
        <w:t>关于发包人向承包人免费提供满足工程施工需要的场内道路和交通设施的约定：</w:t>
      </w:r>
      <w:r>
        <w:rPr>
          <w:rStyle w:val="14"/>
          <w:rFonts w:hint="eastAsia" w:ascii="宋体" w:hAnsi="宋体" w:cs="宋体"/>
          <w:color w:val="000000"/>
          <w:sz w:val="24"/>
          <w:szCs w:val="24"/>
          <w:u w:val="single"/>
        </w:rPr>
        <w:t>由承包人自备。</w:t>
      </w:r>
      <w:bookmarkEnd w:id="120"/>
      <w:bookmarkEnd w:id="121"/>
      <w:bookmarkEnd w:id="122"/>
      <w:bookmarkEnd w:id="123"/>
      <w:bookmarkEnd w:id="124"/>
      <w:bookmarkStart w:id="125" w:name="_Toc318581157"/>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1.7.3超大件和超重件的运输</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运输超大件或超重件所需的道路和桥梁临时加固改造费用和其他有关费用由</w:t>
      </w:r>
      <w:r>
        <w:rPr>
          <w:rStyle w:val="14"/>
          <w:rFonts w:hint="eastAsia" w:ascii="宋体" w:hAnsi="宋体" w:cs="宋体"/>
          <w:color w:val="000000"/>
          <w:sz w:val="24"/>
          <w:szCs w:val="24"/>
          <w:u w:val="single"/>
        </w:rPr>
        <w:t>承包人</w:t>
      </w:r>
      <w:r>
        <w:rPr>
          <w:rStyle w:val="14"/>
          <w:rFonts w:hint="eastAsia" w:ascii="宋体" w:hAnsi="宋体" w:cs="宋体"/>
          <w:color w:val="000000"/>
          <w:sz w:val="24"/>
          <w:szCs w:val="24"/>
        </w:rPr>
        <w:t>承担。</w:t>
      </w:r>
    </w:p>
    <w:bookmarkEnd w:id="125"/>
    <w:p>
      <w:pPr>
        <w:pStyle w:val="20"/>
        <w:keepNext/>
        <w:keepLines/>
        <w:bidi w:val="0"/>
        <w:spacing w:line="500" w:lineRule="exact"/>
        <w:outlineLvl w:val="4"/>
        <w:rPr>
          <w:rStyle w:val="14"/>
          <w:rFonts w:ascii="宋体" w:hAnsi="宋体" w:cs="宋体"/>
          <w:bCs/>
          <w:color w:val="000000"/>
          <w:sz w:val="24"/>
          <w:szCs w:val="24"/>
        </w:rPr>
      </w:pPr>
      <w:r>
        <w:rPr>
          <w:rStyle w:val="14"/>
          <w:rFonts w:hint="eastAsia" w:ascii="宋体" w:hAnsi="宋体" w:cs="宋体"/>
          <w:bCs/>
          <w:color w:val="000000"/>
          <w:sz w:val="24"/>
          <w:szCs w:val="24"/>
        </w:rPr>
        <w:t>1.8 知识产权</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1.8.1关于发包人提供给承包人的图纸、发包人为实施工程自行编制或委托编制的技术规范以及反映发包人关于合同要求或其他类似性质的文件的著作权的归属：</w:t>
      </w:r>
      <w:r>
        <w:rPr>
          <w:rStyle w:val="14"/>
          <w:rFonts w:hint="eastAsia" w:ascii="宋体" w:hAnsi="宋体" w:cs="宋体"/>
          <w:color w:val="000000"/>
          <w:sz w:val="24"/>
          <w:szCs w:val="24"/>
          <w:u w:val="single"/>
        </w:rPr>
        <w:t>归发包人所有</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关于发包人提供的上述文件的使用限制的要求：</w:t>
      </w:r>
      <w:r>
        <w:rPr>
          <w:rStyle w:val="14"/>
          <w:rFonts w:hint="eastAsia" w:ascii="宋体" w:hAnsi="宋体" w:cs="宋体"/>
          <w:color w:val="000000"/>
          <w:sz w:val="24"/>
          <w:szCs w:val="24"/>
          <w:u w:val="single"/>
        </w:rPr>
        <w:t>未经发包人同意不得复制，不得向承包人以外的人员泄漏有关图纸内容或提供给第三方，否则所造成的损失由承包人负责赔偿</w:t>
      </w:r>
      <w:r>
        <w:rPr>
          <w:rStyle w:val="14"/>
          <w:rFonts w:hint="eastAsia" w:ascii="宋体" w:hAnsi="宋体" w:cs="宋体"/>
          <w:color w:val="000000"/>
          <w:sz w:val="24"/>
          <w:szCs w:val="24"/>
        </w:rPr>
        <w:t>。</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1.8.2 关于承包人为实施工程所编制文件的著作权的归属：</w:t>
      </w:r>
      <w:r>
        <w:rPr>
          <w:rStyle w:val="14"/>
          <w:rFonts w:hint="eastAsia" w:ascii="宋体" w:hAnsi="宋体" w:cs="宋体"/>
          <w:color w:val="000000"/>
          <w:sz w:val="24"/>
          <w:u w:val="single"/>
        </w:rPr>
        <w:t>归承包人所有</w:t>
      </w:r>
      <w:r>
        <w:rPr>
          <w:rStyle w:val="14"/>
          <w:rFonts w:hint="eastAsia" w:ascii="宋体" w:hAnsi="宋体" w:cs="宋体"/>
          <w:color w:val="000000"/>
          <w:sz w:val="24"/>
        </w:rPr>
        <w:t>。</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 xml:space="preserve">    1.8.3关于承包人提供的上述文件的使用限制的要求：</w:t>
      </w:r>
      <w:r>
        <w:rPr>
          <w:rStyle w:val="14"/>
          <w:rFonts w:hint="eastAsia" w:ascii="宋体" w:hAnsi="宋体" w:cs="宋体"/>
          <w:color w:val="000000"/>
          <w:sz w:val="24"/>
          <w:szCs w:val="24"/>
          <w:u w:val="single"/>
        </w:rPr>
        <w:t>不得用于与本工程无关的一切事宜</w:t>
      </w:r>
      <w:r>
        <w:rPr>
          <w:rStyle w:val="14"/>
          <w:rFonts w:hint="eastAsia" w:ascii="宋体" w:hAnsi="宋体" w:cs="宋体"/>
          <w:color w:val="000000"/>
          <w:sz w:val="24"/>
          <w:szCs w:val="24"/>
        </w:rPr>
        <w:t>。</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 xml:space="preserve">    1.8.4 承包人在施工过程中所采用的专利、专有技术、技术秘密的使用费的承担方式：</w:t>
      </w:r>
      <w:r>
        <w:rPr>
          <w:rStyle w:val="14"/>
          <w:rFonts w:hint="eastAsia" w:ascii="宋体" w:hAnsi="宋体" w:cs="宋体"/>
          <w:color w:val="000000"/>
          <w:sz w:val="24"/>
          <w:szCs w:val="24"/>
          <w:u w:val="single"/>
        </w:rPr>
        <w:t>如有，将由承包人承担</w:t>
      </w:r>
      <w:r>
        <w:rPr>
          <w:rStyle w:val="14"/>
          <w:rFonts w:hint="eastAsia" w:ascii="宋体" w:hAnsi="宋体" w:cs="宋体"/>
          <w:color w:val="000000"/>
          <w:sz w:val="24"/>
          <w:szCs w:val="24"/>
        </w:rPr>
        <w:t>。</w:t>
      </w:r>
    </w:p>
    <w:p>
      <w:pPr>
        <w:pStyle w:val="20"/>
        <w:keepNext/>
        <w:keepLines/>
        <w:bidi w:val="0"/>
        <w:spacing w:line="500" w:lineRule="exact"/>
        <w:outlineLvl w:val="4"/>
        <w:rPr>
          <w:rStyle w:val="14"/>
          <w:rFonts w:ascii="宋体" w:hAnsi="宋体" w:cs="宋体"/>
          <w:bCs/>
          <w:color w:val="000000"/>
          <w:sz w:val="24"/>
          <w:szCs w:val="24"/>
        </w:rPr>
      </w:pPr>
      <w:r>
        <w:rPr>
          <w:rStyle w:val="14"/>
          <w:rFonts w:hint="eastAsia" w:ascii="宋体" w:hAnsi="宋体" w:cs="宋体"/>
          <w:bCs/>
          <w:color w:val="000000"/>
          <w:sz w:val="24"/>
          <w:szCs w:val="24"/>
        </w:rPr>
        <w:t>1.9工程量清单错误的修正</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出现工程量清单错误时，是否调整合同价格：</w:t>
      </w:r>
      <w:r>
        <w:rPr>
          <w:rStyle w:val="14"/>
          <w:rFonts w:hint="eastAsia" w:ascii="宋体" w:hAnsi="宋体" w:cs="宋体"/>
          <w:color w:val="000000"/>
          <w:sz w:val="24"/>
          <w:szCs w:val="24"/>
          <w:u w:val="single"/>
        </w:rPr>
        <w:t xml:space="preserve">是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允许调整合同价格的工程量偏差范围：</w:t>
      </w:r>
      <w:r>
        <w:rPr>
          <w:rStyle w:val="14"/>
          <w:rFonts w:hint="eastAsia" w:ascii="宋体" w:hAnsi="宋体" w:cs="宋体"/>
          <w:color w:val="000000"/>
          <w:sz w:val="24"/>
          <w:szCs w:val="24"/>
          <w:u w:val="single"/>
        </w:rPr>
        <w:t>（1）工程量清单存在缺项、漏项的；（2）工程量清单偏差超出约定的工程量偏差范围的；（3）未按照国家现行计量规范强制性规定计量的</w:t>
      </w:r>
      <w:r>
        <w:rPr>
          <w:rStyle w:val="14"/>
          <w:rFonts w:hint="eastAsia" w:ascii="宋体" w:hAnsi="宋体" w:cs="宋体"/>
          <w:color w:val="000000"/>
          <w:sz w:val="24"/>
          <w:szCs w:val="24"/>
        </w:rPr>
        <w:t>。</w:t>
      </w:r>
    </w:p>
    <w:p>
      <w:pPr>
        <w:pStyle w:val="20"/>
        <w:keepNext/>
        <w:keepLines/>
        <w:bidi w:val="0"/>
        <w:spacing w:line="500" w:lineRule="exact"/>
        <w:outlineLvl w:val="3"/>
        <w:rPr>
          <w:rStyle w:val="14"/>
          <w:rFonts w:ascii="宋体" w:hAnsi="宋体" w:cs="宋体"/>
          <w:b/>
          <w:bCs/>
          <w:color w:val="000000"/>
          <w:sz w:val="24"/>
          <w:szCs w:val="24"/>
        </w:rPr>
      </w:pPr>
      <w:bookmarkStart w:id="126" w:name="_Toc351203634"/>
      <w:r>
        <w:rPr>
          <w:rStyle w:val="14"/>
          <w:rFonts w:hint="eastAsia" w:ascii="宋体" w:hAnsi="宋体" w:cs="宋体"/>
          <w:b/>
          <w:bCs/>
          <w:color w:val="000000"/>
          <w:sz w:val="24"/>
          <w:szCs w:val="24"/>
        </w:rPr>
        <w:t>2</w:t>
      </w:r>
      <w:bookmarkStart w:id="127" w:name="_Toc297048343"/>
      <w:bookmarkStart w:id="128" w:name="_Toc296346658"/>
      <w:bookmarkStart w:id="129" w:name="_Toc296944496"/>
      <w:bookmarkStart w:id="130" w:name="_Toc296890985"/>
      <w:bookmarkStart w:id="131" w:name="_Toc296891197"/>
      <w:bookmarkStart w:id="132" w:name="_Toc292559867"/>
      <w:bookmarkStart w:id="133" w:name="_Toc296503157"/>
      <w:bookmarkStart w:id="134" w:name="_Toc292559362"/>
      <w:bookmarkStart w:id="135" w:name="_Toc297120457"/>
      <w:bookmarkStart w:id="136" w:name="_Toc296347156"/>
      <w:r>
        <w:rPr>
          <w:rStyle w:val="14"/>
          <w:rFonts w:hint="eastAsia" w:ascii="宋体" w:hAnsi="宋体" w:cs="宋体"/>
          <w:b/>
          <w:bCs/>
          <w:color w:val="000000"/>
          <w:sz w:val="24"/>
          <w:szCs w:val="24"/>
        </w:rPr>
        <w:t>. 发包人</w:t>
      </w:r>
      <w:bookmarkEnd w:id="126"/>
    </w:p>
    <w:bookmarkEnd w:id="127"/>
    <w:bookmarkEnd w:id="128"/>
    <w:bookmarkEnd w:id="129"/>
    <w:bookmarkEnd w:id="130"/>
    <w:bookmarkEnd w:id="131"/>
    <w:bookmarkEnd w:id="132"/>
    <w:bookmarkEnd w:id="133"/>
    <w:bookmarkEnd w:id="134"/>
    <w:bookmarkEnd w:id="135"/>
    <w:bookmarkEnd w:id="136"/>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2.1发包人代表</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发包人代表：</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姓    名：</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发包人对发包人代表的授权范围如下：</w:t>
      </w:r>
      <w:r>
        <w:rPr>
          <w:rStyle w:val="14"/>
          <w:rFonts w:hint="eastAsia" w:ascii="宋体" w:hAnsi="宋体" w:cs="宋体"/>
          <w:color w:val="000000"/>
          <w:sz w:val="24"/>
          <w:szCs w:val="24"/>
          <w:u w:val="single"/>
        </w:rPr>
        <w:t>施工组织设计和总进度计划的审批权；工程变更的确认权；签证权；决定开工令、停工令、复工令权；工程款的审查权和支付权；特殊及重要施工工艺和材料发包及指定分包权；建筑材料价格的确认权；合同的解释；等等。</w:t>
      </w:r>
    </w:p>
    <w:p>
      <w:pPr>
        <w:pStyle w:val="20"/>
        <w:bidi w:val="0"/>
        <w:spacing w:line="500" w:lineRule="exact"/>
        <w:ind w:firstLine="480" w:firstLineChars="200"/>
        <w:rPr>
          <w:rStyle w:val="14"/>
          <w:rFonts w:ascii="宋体" w:hAnsi="宋体" w:cs="宋体"/>
          <w:bCs/>
          <w:color w:val="000000"/>
          <w:sz w:val="24"/>
          <w:szCs w:val="24"/>
        </w:rPr>
      </w:pPr>
      <w:r>
        <w:rPr>
          <w:rStyle w:val="14"/>
          <w:rFonts w:hint="eastAsia" w:ascii="宋体" w:hAnsi="宋体" w:cs="宋体"/>
          <w:bCs/>
          <w:color w:val="000000"/>
          <w:sz w:val="24"/>
          <w:szCs w:val="24"/>
        </w:rPr>
        <w:t>2.2 施工现场、施工条件和基础资料的提供</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2.2.1 提供施工现场</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关于发包人移交施工现场的期限要求：</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2.2.2 提供施工条件</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关于发包人应负责提供施工所需要的条件，包括：</w:t>
      </w:r>
    </w:p>
    <w:p>
      <w:pPr>
        <w:pStyle w:val="25"/>
        <w:tabs>
          <w:tab w:val="left" w:pos="0"/>
          <w:tab w:val="left" w:pos="993"/>
          <w:tab w:val="left" w:pos="1134"/>
        </w:tabs>
        <w:bidi w:val="0"/>
        <w:adjustRightInd w:val="0"/>
        <w:snapToGrid w:val="0"/>
        <w:spacing w:line="500" w:lineRule="exact"/>
        <w:ind w:firstLine="420"/>
        <w:rPr>
          <w:rStyle w:val="14"/>
          <w:rFonts w:ascii="宋体" w:hAnsi="宋体" w:cs="宋体"/>
          <w:color w:val="000000"/>
          <w:sz w:val="24"/>
          <w:u w:val="single"/>
        </w:rPr>
      </w:pPr>
      <w:r>
        <w:rPr>
          <w:rStyle w:val="14"/>
          <w:rFonts w:hint="eastAsia" w:ascii="宋体" w:hAnsi="宋体" w:cs="宋体"/>
          <w:color w:val="000000"/>
          <w:sz w:val="24"/>
        </w:rPr>
        <w:t>⑴施工现场具备施工条件的要求及完成时间：</w:t>
      </w:r>
      <w:r>
        <w:rPr>
          <w:rStyle w:val="14"/>
          <w:rFonts w:hint="eastAsia" w:ascii="宋体" w:hAnsi="宋体" w:cs="宋体"/>
          <w:color w:val="000000"/>
          <w:sz w:val="24"/>
          <w:u w:val="single"/>
        </w:rPr>
        <w:t>提供施工所需的红线内场地，并在计算工期前将施工现场各种障碍物清除；其他料场、办公等用地由承包人自行解决。</w:t>
      </w:r>
    </w:p>
    <w:p>
      <w:pPr>
        <w:pStyle w:val="25"/>
        <w:tabs>
          <w:tab w:val="left" w:pos="0"/>
          <w:tab w:val="left" w:pos="993"/>
          <w:tab w:val="left" w:pos="1134"/>
        </w:tabs>
        <w:bidi w:val="0"/>
        <w:adjustRightInd w:val="0"/>
        <w:snapToGrid w:val="0"/>
        <w:spacing w:line="500" w:lineRule="exact"/>
        <w:ind w:firstLine="420"/>
        <w:rPr>
          <w:rStyle w:val="14"/>
          <w:rFonts w:ascii="宋体" w:hAnsi="宋体" w:cs="宋体"/>
          <w:color w:val="0000FF"/>
          <w:sz w:val="24"/>
          <w:u w:val="single"/>
        </w:rPr>
      </w:pPr>
      <w:r>
        <w:rPr>
          <w:rStyle w:val="14"/>
          <w:rFonts w:hint="eastAsia" w:ascii="宋体" w:hAnsi="宋体" w:cs="宋体"/>
          <w:color w:val="000000"/>
          <w:sz w:val="24"/>
        </w:rPr>
        <w:t>⑵将所需的水、电接至施工现场的时间、地点和供应要求：</w:t>
      </w:r>
      <w:r>
        <w:rPr>
          <w:rStyle w:val="14"/>
          <w:rFonts w:hint="eastAsia" w:ascii="宋体" w:hAnsi="宋体" w:cs="宋体"/>
          <w:color w:val="000000"/>
          <w:sz w:val="24"/>
          <w:u w:val="single"/>
        </w:rPr>
        <w:t>计算工期前将水、电线路接至施工现场用地红线界（承包人统一挂表，每月按实际发生额向发包人交纳，并由发包人代交供电、供水费用）。如现有用电量不能满足施工要求，由发包人负责增容。</w:t>
      </w:r>
    </w:p>
    <w:p>
      <w:pPr>
        <w:pStyle w:val="25"/>
        <w:tabs>
          <w:tab w:val="left" w:pos="0"/>
          <w:tab w:val="left" w:pos="993"/>
          <w:tab w:val="left" w:pos="1134"/>
        </w:tabs>
        <w:bidi w:val="0"/>
        <w:adjustRightInd w:val="0"/>
        <w:snapToGrid w:val="0"/>
        <w:spacing w:line="500" w:lineRule="exact"/>
        <w:ind w:firstLine="420"/>
        <w:rPr>
          <w:rStyle w:val="14"/>
          <w:rFonts w:ascii="宋体" w:hAnsi="宋体" w:cs="宋体"/>
          <w:color w:val="000000"/>
          <w:sz w:val="24"/>
          <w:u w:val="single"/>
        </w:rPr>
      </w:pPr>
      <w:r>
        <w:rPr>
          <w:rStyle w:val="14"/>
          <w:rFonts w:hint="eastAsia" w:ascii="宋体" w:hAnsi="宋体" w:cs="宋体"/>
          <w:color w:val="000000"/>
          <w:sz w:val="24"/>
        </w:rPr>
        <w:t>⑶施工场地与公共道路的通道开通时间和要求：</w:t>
      </w:r>
      <w:r>
        <w:rPr>
          <w:rStyle w:val="14"/>
          <w:rFonts w:hint="eastAsia" w:ascii="宋体" w:hAnsi="宋体" w:cs="宋体"/>
          <w:color w:val="000000"/>
          <w:sz w:val="24"/>
          <w:u w:val="single"/>
        </w:rPr>
        <w:t>已完成。</w:t>
      </w:r>
    </w:p>
    <w:p>
      <w:pPr>
        <w:pStyle w:val="25"/>
        <w:tabs>
          <w:tab w:val="left" w:pos="0"/>
          <w:tab w:val="left" w:pos="993"/>
          <w:tab w:val="left" w:pos="1134"/>
        </w:tabs>
        <w:bidi w:val="0"/>
        <w:adjustRightInd w:val="0"/>
        <w:snapToGrid w:val="0"/>
        <w:spacing w:line="500" w:lineRule="exact"/>
        <w:ind w:firstLine="420"/>
        <w:rPr>
          <w:rStyle w:val="14"/>
          <w:rFonts w:ascii="宋体" w:hAnsi="宋体" w:cs="宋体"/>
          <w:color w:val="000000"/>
          <w:sz w:val="24"/>
          <w:u w:val="single"/>
        </w:rPr>
      </w:pPr>
      <w:r>
        <w:rPr>
          <w:rStyle w:val="14"/>
          <w:rFonts w:hint="eastAsia" w:ascii="宋体" w:hAnsi="宋体" w:cs="宋体"/>
          <w:color w:val="000000"/>
          <w:sz w:val="24"/>
        </w:rPr>
        <w:t>⑷工程地质和地下管网线资料的提供时间：</w:t>
      </w:r>
      <w:r>
        <w:rPr>
          <w:rStyle w:val="14"/>
          <w:rFonts w:hint="eastAsia" w:ascii="宋体" w:hAnsi="宋体" w:cs="宋体"/>
          <w:color w:val="000000"/>
          <w:sz w:val="24"/>
          <w:u w:val="single"/>
        </w:rPr>
        <w:t>计算工期前提供工程地质和地下管网线路等资料。</w:t>
      </w:r>
    </w:p>
    <w:p>
      <w:pPr>
        <w:pStyle w:val="25"/>
        <w:tabs>
          <w:tab w:val="left" w:pos="0"/>
          <w:tab w:val="left" w:pos="993"/>
          <w:tab w:val="left" w:pos="1134"/>
        </w:tabs>
        <w:bidi w:val="0"/>
        <w:adjustRightInd w:val="0"/>
        <w:snapToGrid w:val="0"/>
        <w:spacing w:line="500" w:lineRule="exact"/>
        <w:ind w:firstLine="420"/>
        <w:rPr>
          <w:rStyle w:val="14"/>
          <w:rFonts w:ascii="宋体" w:hAnsi="宋体" w:cs="宋体"/>
          <w:color w:val="000000"/>
          <w:sz w:val="24"/>
          <w:u w:val="single"/>
        </w:rPr>
      </w:pPr>
      <w:r>
        <w:rPr>
          <w:rStyle w:val="14"/>
          <w:rFonts w:hint="eastAsia" w:ascii="宋体" w:hAnsi="宋体" w:cs="宋体"/>
          <w:color w:val="000000"/>
          <w:sz w:val="24"/>
        </w:rPr>
        <w:t>⑸由发包人办理的施工所需证件、批件的名称和完成时间：</w:t>
      </w:r>
      <w:r>
        <w:rPr>
          <w:rStyle w:val="14"/>
          <w:rFonts w:hint="eastAsia" w:ascii="宋体" w:hAnsi="宋体" w:cs="宋体"/>
          <w:color w:val="000000"/>
          <w:sz w:val="24"/>
          <w:u w:val="single"/>
        </w:rPr>
        <w:t>按规定应由发包人办理的相关施工手续，承包人应及时提供相关手续。</w:t>
      </w:r>
    </w:p>
    <w:p>
      <w:pPr>
        <w:pStyle w:val="25"/>
        <w:tabs>
          <w:tab w:val="left" w:pos="0"/>
          <w:tab w:val="left" w:pos="993"/>
          <w:tab w:val="left" w:pos="1134"/>
        </w:tabs>
        <w:bidi w:val="0"/>
        <w:adjustRightInd w:val="0"/>
        <w:snapToGrid w:val="0"/>
        <w:spacing w:line="500" w:lineRule="exact"/>
        <w:ind w:firstLine="420"/>
        <w:rPr>
          <w:rStyle w:val="14"/>
          <w:rFonts w:ascii="宋体" w:hAnsi="宋体" w:cs="宋体"/>
          <w:color w:val="000000"/>
          <w:sz w:val="24"/>
          <w:u w:val="single"/>
        </w:rPr>
      </w:pPr>
      <w:r>
        <w:rPr>
          <w:rStyle w:val="14"/>
          <w:rFonts w:hint="eastAsia" w:ascii="宋体" w:hAnsi="宋体" w:cs="宋体"/>
          <w:color w:val="000000"/>
          <w:sz w:val="24"/>
        </w:rPr>
        <w:t>⑹水准点与坐标控制点交验要求：</w:t>
      </w:r>
      <w:r>
        <w:rPr>
          <w:rStyle w:val="14"/>
          <w:rFonts w:hint="eastAsia" w:ascii="宋体" w:hAnsi="宋体" w:cs="宋体"/>
          <w:color w:val="000000"/>
          <w:sz w:val="24"/>
          <w:u w:val="single"/>
        </w:rPr>
        <w:t>开工前提供水准点与坐标控制点，按施工图由发包人、承包人、监理现场书面交验，交验后，承包人应妥善保护场内水准点与控制点，任意破坏或遗失应由承包人负责。</w:t>
      </w:r>
    </w:p>
    <w:p>
      <w:pPr>
        <w:pStyle w:val="25"/>
        <w:tabs>
          <w:tab w:val="left" w:pos="0"/>
          <w:tab w:val="left" w:pos="993"/>
          <w:tab w:val="left" w:pos="1134"/>
        </w:tabs>
        <w:bidi w:val="0"/>
        <w:adjustRightInd w:val="0"/>
        <w:snapToGrid w:val="0"/>
        <w:spacing w:line="500" w:lineRule="exact"/>
        <w:ind w:firstLine="420"/>
        <w:rPr>
          <w:rStyle w:val="14"/>
          <w:rFonts w:ascii="宋体" w:hAnsi="宋体" w:cs="宋体"/>
          <w:color w:val="000000"/>
          <w:sz w:val="24"/>
          <w:u w:val="single"/>
        </w:rPr>
      </w:pPr>
      <w:r>
        <w:rPr>
          <w:rStyle w:val="14"/>
          <w:rFonts w:hint="eastAsia" w:ascii="宋体" w:hAnsi="宋体" w:cs="宋体"/>
          <w:color w:val="000000"/>
          <w:sz w:val="24"/>
        </w:rPr>
        <w:t>⑺图纸会审和设计交底时间：</w:t>
      </w:r>
      <w:r>
        <w:rPr>
          <w:rStyle w:val="14"/>
          <w:rFonts w:hint="eastAsia" w:ascii="宋体" w:hAnsi="宋体" w:cs="宋体"/>
          <w:color w:val="000000"/>
          <w:sz w:val="24"/>
          <w:u w:val="single"/>
        </w:rPr>
        <w:t>开工前一周内。</w:t>
      </w:r>
    </w:p>
    <w:p>
      <w:pPr>
        <w:pStyle w:val="25"/>
        <w:tabs>
          <w:tab w:val="left" w:pos="0"/>
          <w:tab w:val="left" w:pos="993"/>
          <w:tab w:val="left" w:pos="1134"/>
        </w:tabs>
        <w:bidi w:val="0"/>
        <w:adjustRightInd w:val="0"/>
        <w:snapToGrid w:val="0"/>
        <w:spacing w:line="500" w:lineRule="exact"/>
        <w:ind w:firstLine="420"/>
        <w:rPr>
          <w:rStyle w:val="14"/>
          <w:rFonts w:ascii="宋体" w:hAnsi="宋体" w:cs="宋体"/>
          <w:color w:val="000000"/>
          <w:sz w:val="24"/>
          <w:u w:val="single"/>
        </w:rPr>
      </w:pPr>
      <w:r>
        <w:rPr>
          <w:rStyle w:val="14"/>
          <w:rFonts w:hint="eastAsia" w:ascii="宋体" w:hAnsi="宋体" w:cs="宋体"/>
          <w:color w:val="000000"/>
          <w:sz w:val="24"/>
        </w:rPr>
        <w:t>⑻协调处理施工场地周围地下管线和邻近建筑物、构筑物（含文物保护建筑）、古树名木的保护工作：</w:t>
      </w:r>
      <w:r>
        <w:rPr>
          <w:rStyle w:val="14"/>
          <w:rFonts w:hint="eastAsia" w:ascii="宋体" w:hAnsi="宋体" w:cs="宋体"/>
          <w:color w:val="000000"/>
          <w:sz w:val="24"/>
          <w:u w:val="single"/>
        </w:rPr>
        <w:t>督促承包人做好保护工作，所需费用由承包人负责</w:t>
      </w:r>
      <w:r>
        <w:rPr>
          <w:rStyle w:val="14"/>
          <w:rFonts w:hint="eastAsia" w:ascii="宋体" w:hAnsi="宋体" w:cs="宋体"/>
          <w:color w:val="000000"/>
          <w:sz w:val="24"/>
        </w:rPr>
        <w:t xml:space="preserve">。 </w:t>
      </w:r>
    </w:p>
    <w:p>
      <w:pPr>
        <w:pStyle w:val="25"/>
        <w:tabs>
          <w:tab w:val="left" w:pos="0"/>
          <w:tab w:val="left" w:pos="993"/>
          <w:tab w:val="left" w:pos="1134"/>
        </w:tabs>
        <w:bidi w:val="0"/>
        <w:adjustRightInd w:val="0"/>
        <w:snapToGrid w:val="0"/>
        <w:spacing w:line="500" w:lineRule="exact"/>
        <w:ind w:firstLine="420"/>
        <w:rPr>
          <w:rStyle w:val="14"/>
          <w:rFonts w:ascii="宋体" w:hAnsi="宋体" w:cs="宋体"/>
          <w:color w:val="000000"/>
          <w:sz w:val="24"/>
          <w:u w:val="single"/>
        </w:rPr>
      </w:pPr>
      <w:r>
        <w:rPr>
          <w:rStyle w:val="14"/>
          <w:rFonts w:hint="eastAsia" w:ascii="宋体" w:hAnsi="宋体" w:cs="宋体"/>
          <w:color w:val="000000"/>
          <w:sz w:val="24"/>
        </w:rPr>
        <w:t>⑼双方约定发包人应做的其他工作：</w:t>
      </w:r>
      <w:r>
        <w:rPr>
          <w:rStyle w:val="14"/>
          <w:rFonts w:hint="eastAsia" w:ascii="宋体" w:hAnsi="宋体" w:cs="宋体"/>
          <w:color w:val="000000"/>
          <w:sz w:val="24"/>
          <w:u w:val="single"/>
        </w:rPr>
        <w:t>承包人如有拖欠克扣工人劳动报酬</w:t>
      </w:r>
      <w:r>
        <w:rPr>
          <w:rStyle w:val="14"/>
          <w:rFonts w:ascii="宋体" w:hAnsi="宋体" w:cs="宋体"/>
          <w:color w:val="000000"/>
          <w:sz w:val="24"/>
          <w:u w:val="single"/>
        </w:rPr>
        <w:t>（</w:t>
      </w:r>
      <w:r>
        <w:rPr>
          <w:rStyle w:val="14"/>
          <w:rFonts w:hint="eastAsia" w:ascii="宋体" w:hAnsi="宋体" w:cs="宋体"/>
          <w:color w:val="000000"/>
          <w:sz w:val="24"/>
          <w:u w:val="single"/>
        </w:rPr>
        <w:t>包括农民工工资</w:t>
      </w:r>
      <w:r>
        <w:rPr>
          <w:rStyle w:val="14"/>
          <w:rFonts w:ascii="宋体" w:hAnsi="宋体" w:cs="宋体"/>
          <w:color w:val="000000"/>
          <w:sz w:val="24"/>
          <w:u w:val="single"/>
        </w:rPr>
        <w:t>）</w:t>
      </w:r>
      <w:r>
        <w:rPr>
          <w:rStyle w:val="14"/>
          <w:rFonts w:hint="eastAsia" w:ascii="宋体" w:hAnsi="宋体" w:cs="宋体"/>
          <w:color w:val="000000"/>
          <w:sz w:val="24"/>
          <w:u w:val="single"/>
        </w:rPr>
        <w:t>行为的，发包人有权采取下列任一或全部措施，同时承包人应赔偿因此给发包人造成的损失：</w:t>
      </w:r>
      <w:r>
        <w:rPr>
          <w:rStyle w:val="14"/>
          <w:rFonts w:hint="eastAsia" w:ascii="宋体" w:hAnsi="宋体" w:cs="宋体"/>
          <w:color w:val="000000"/>
          <w:sz w:val="24"/>
          <w:u w:val="single"/>
        </w:rPr>
        <w:fldChar w:fldCharType="begin"/>
      </w:r>
      <w:r>
        <w:rPr>
          <w:rStyle w:val="14"/>
          <w:rFonts w:hint="eastAsia" w:ascii="宋体" w:hAnsi="宋体" w:cs="宋体"/>
          <w:color w:val="000000"/>
          <w:sz w:val="24"/>
          <w:u w:val="single"/>
        </w:rPr>
        <w:instrText xml:space="preserve"> = 1 \* GB3 </w:instrText>
      </w:r>
      <w:r>
        <w:rPr>
          <w:rStyle w:val="14"/>
          <w:rFonts w:hint="eastAsia" w:ascii="宋体" w:hAnsi="宋体" w:cs="宋体"/>
          <w:color w:val="000000"/>
          <w:sz w:val="24"/>
          <w:u w:val="single"/>
        </w:rPr>
        <w:fldChar w:fldCharType="separate"/>
      </w:r>
      <w:r>
        <w:rPr>
          <w:rStyle w:val="14"/>
          <w:rFonts w:hint="eastAsia" w:ascii="宋体" w:hAnsi="宋体" w:cs="宋体"/>
          <w:color w:val="000000"/>
          <w:sz w:val="24"/>
          <w:u w:val="single"/>
        </w:rPr>
        <w:t>①</w:t>
      </w:r>
      <w:r>
        <w:rPr>
          <w:rStyle w:val="14"/>
          <w:rFonts w:hint="eastAsia" w:ascii="宋体" w:hAnsi="宋体" w:cs="宋体"/>
          <w:color w:val="000000"/>
          <w:sz w:val="24"/>
          <w:u w:val="single"/>
        </w:rPr>
        <w:fldChar w:fldCharType="end"/>
      </w:r>
      <w:r>
        <w:rPr>
          <w:rStyle w:val="14"/>
          <w:rFonts w:hint="eastAsia" w:ascii="宋体" w:hAnsi="宋体" w:cs="宋体"/>
          <w:color w:val="000000"/>
          <w:sz w:val="24"/>
          <w:u w:val="single"/>
        </w:rPr>
        <w:t>从合同价款扣除，直接支付给承包人在本项目上的雇员；</w:t>
      </w:r>
      <w:r>
        <w:rPr>
          <w:rStyle w:val="14"/>
          <w:rFonts w:hint="eastAsia" w:ascii="宋体" w:hAnsi="宋体" w:cs="宋体"/>
          <w:color w:val="000000"/>
          <w:sz w:val="24"/>
          <w:u w:val="single"/>
        </w:rPr>
        <w:fldChar w:fldCharType="begin"/>
      </w:r>
      <w:r>
        <w:rPr>
          <w:rStyle w:val="14"/>
          <w:rFonts w:hint="eastAsia" w:ascii="宋体" w:hAnsi="宋体" w:cs="宋体"/>
          <w:color w:val="000000"/>
          <w:sz w:val="24"/>
          <w:u w:val="single"/>
        </w:rPr>
        <w:instrText xml:space="preserve"> = 2 \* GB3 </w:instrText>
      </w:r>
      <w:r>
        <w:rPr>
          <w:rStyle w:val="14"/>
          <w:rFonts w:hint="eastAsia" w:ascii="宋体" w:hAnsi="宋体" w:cs="宋体"/>
          <w:color w:val="000000"/>
          <w:sz w:val="24"/>
          <w:u w:val="single"/>
        </w:rPr>
        <w:fldChar w:fldCharType="separate"/>
      </w:r>
      <w:r>
        <w:rPr>
          <w:rStyle w:val="14"/>
          <w:rFonts w:hint="eastAsia" w:ascii="宋体" w:hAnsi="宋体" w:cs="宋体"/>
          <w:color w:val="000000"/>
          <w:sz w:val="24"/>
          <w:u w:val="single"/>
        </w:rPr>
        <w:t>②</w:t>
      </w:r>
      <w:r>
        <w:rPr>
          <w:rStyle w:val="14"/>
          <w:rFonts w:hint="eastAsia" w:ascii="宋体" w:hAnsi="宋体" w:cs="宋体"/>
          <w:color w:val="000000"/>
          <w:sz w:val="24"/>
          <w:u w:val="single"/>
        </w:rPr>
        <w:fldChar w:fldCharType="end"/>
      </w:r>
      <w:r>
        <w:rPr>
          <w:rStyle w:val="14"/>
          <w:rFonts w:hint="eastAsia" w:ascii="宋体" w:hAnsi="宋体" w:cs="宋体"/>
          <w:color w:val="000000"/>
          <w:sz w:val="24"/>
          <w:u w:val="single"/>
        </w:rPr>
        <w:t>解除本合同。</w:t>
      </w:r>
    </w:p>
    <w:p>
      <w:pPr>
        <w:pStyle w:val="25"/>
        <w:tabs>
          <w:tab w:val="left" w:pos="0"/>
          <w:tab w:val="left" w:pos="993"/>
          <w:tab w:val="left" w:pos="1134"/>
        </w:tabs>
        <w:bidi w:val="0"/>
        <w:adjustRightInd w:val="0"/>
        <w:snapToGrid w:val="0"/>
        <w:spacing w:line="500" w:lineRule="exact"/>
        <w:ind w:firstLine="240" w:firstLineChars="100"/>
        <w:rPr>
          <w:rStyle w:val="14"/>
          <w:rFonts w:ascii="宋体" w:hAnsi="宋体" w:cs="宋体"/>
          <w:color w:val="000000"/>
          <w:sz w:val="24"/>
        </w:rPr>
      </w:pPr>
      <w:r>
        <w:rPr>
          <w:rStyle w:val="14"/>
          <w:rFonts w:hint="eastAsia" w:ascii="宋体" w:hAnsi="宋体" w:cs="宋体"/>
          <w:color w:val="000000"/>
          <w:sz w:val="24"/>
        </w:rPr>
        <w:t>（10）</w:t>
      </w:r>
      <w:r>
        <w:rPr>
          <w:rStyle w:val="14"/>
          <w:rFonts w:hint="eastAsia" w:ascii="宋体" w:hAnsi="宋体" w:cs="宋体"/>
          <w:color w:val="000000"/>
          <w:sz w:val="24"/>
          <w:u w:val="single"/>
        </w:rPr>
        <w:t>发包人不预付安全文明施工费，与进度款同期比例支付。</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2.3 资金来源证明及支付担保</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发包人提供资金来源证明的期限要求：</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发包人是否提供支付担保：</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发包人提供支付担保的形式：</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keepNext/>
        <w:keepLines/>
        <w:bidi w:val="0"/>
        <w:spacing w:line="500" w:lineRule="exact"/>
        <w:outlineLvl w:val="3"/>
        <w:rPr>
          <w:rStyle w:val="14"/>
          <w:rFonts w:ascii="宋体" w:hAnsi="宋体" w:cs="宋体"/>
          <w:b/>
          <w:bCs/>
          <w:color w:val="000000"/>
          <w:sz w:val="24"/>
          <w:szCs w:val="24"/>
        </w:rPr>
      </w:pPr>
      <w:bookmarkStart w:id="137" w:name="_Toc351203635"/>
      <w:r>
        <w:rPr>
          <w:rStyle w:val="14"/>
          <w:rFonts w:hint="eastAsia" w:ascii="宋体" w:hAnsi="宋体" w:cs="宋体"/>
          <w:b/>
          <w:bCs/>
          <w:color w:val="000000"/>
          <w:sz w:val="24"/>
          <w:szCs w:val="24"/>
        </w:rPr>
        <w:t>3</w:t>
      </w:r>
      <w:bookmarkStart w:id="138" w:name="_Toc296891198"/>
      <w:bookmarkStart w:id="139" w:name="_Toc297048344"/>
      <w:bookmarkStart w:id="140" w:name="_Toc296503158"/>
      <w:bookmarkStart w:id="141" w:name="_Toc297120458"/>
      <w:bookmarkStart w:id="142" w:name="_Toc292559363"/>
      <w:bookmarkStart w:id="143" w:name="_Toc296346659"/>
      <w:bookmarkStart w:id="144" w:name="_Toc292559868"/>
      <w:bookmarkStart w:id="145" w:name="_Toc296944497"/>
      <w:bookmarkStart w:id="146" w:name="_Toc296890986"/>
      <w:bookmarkStart w:id="147" w:name="_Toc296347157"/>
      <w:r>
        <w:rPr>
          <w:rStyle w:val="14"/>
          <w:rFonts w:hint="eastAsia" w:ascii="宋体" w:hAnsi="宋体" w:cs="宋体"/>
          <w:b/>
          <w:bCs/>
          <w:color w:val="000000"/>
          <w:sz w:val="24"/>
          <w:szCs w:val="24"/>
        </w:rPr>
        <w:t>. 承包人</w:t>
      </w:r>
      <w:bookmarkEnd w:id="137"/>
    </w:p>
    <w:bookmarkEnd w:id="138"/>
    <w:bookmarkEnd w:id="139"/>
    <w:bookmarkEnd w:id="140"/>
    <w:bookmarkEnd w:id="141"/>
    <w:bookmarkEnd w:id="142"/>
    <w:bookmarkEnd w:id="143"/>
    <w:bookmarkEnd w:id="144"/>
    <w:bookmarkEnd w:id="145"/>
    <w:bookmarkEnd w:id="146"/>
    <w:bookmarkEnd w:id="147"/>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3.1 承包人的一般义务</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承包人应按约定的时间和要求完成以下工作：</w:t>
      </w:r>
    </w:p>
    <w:p>
      <w:pPr>
        <w:pStyle w:val="20"/>
        <w:numPr>
          <w:ilvl w:val="0"/>
          <w:numId w:val="1"/>
        </w:numPr>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由设计资质等级和业务范围允许的承包人完成的设计文件提交时间：无。</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⑵应提供计划、报表的名称及完成时间：合同签定前提供材料计划和总进度计划；每周五17点前向发包人和监理方提供详细的书面施工进度计划、已完成工程量报表（含工程变更及签证预算）、已购材料清单、材料进场计划、劳动力及用款计划等资料，及发包人要求提供的其他相关资料，不提供或不按时提供，或提供不全的，承包人向发包人支付违约金2000元/次。</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⑶承担施工安全保卫工作及非夜间施工照明的责任和要求：昼夜照明和现场施工安全保卫工作均由承包人负责，施工期间发生的安全等事故由承包人承担全部责任。</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⑷向发包人提供的办公和生活房屋及设施的要求：无偿向发包人、监理单位提供生活用品和办公地点，办公地点由发包人统筹安排,承包人向发包人提供必要的办公及办公设备、办公用品 。</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⑸需承包人办理的有关施工场地交通、环卫和施工噪音管理等手续：按有关规定办理上述手续，费用由承包人负责。施工中建筑及生活垃圾需运出施工现场外时，承包人需到城管部门办理相关手续并按城管部门指定地点放置，费用由承包人负责（包括因承包人责任所引起的处罚）。</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⑹已完成工程成品保护的特殊要求及费用承担：已竣工工程未交付发包人验收之前的成品保护由承包人负责，费用由承包人承担；承包人承诺在合同工期内如未完成工程验收的，发包人又急于使用，不视同竣工验收合格，且发生损坏的修理费用由承包人承担。</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⑺施工场地周围地下管线和邻近建筑物、构筑物（含文物保护建筑）、古树名木的保护要求及费用承担：做好邻近建筑物的保护和观测工作，因承包人的责任造成的财产和人身损失，由承包人承担相关费用。</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⑻施工现场清洁卫生的要求：施工场地清洁卫生要求应达到宿迁市安全文明工地的要求，满足城管、卫生、防疫及环保部门的相关要求，如果出现被相关主管部门通报批评的、被新闻媒体曝光的、被罚款的。在承包人足额交纳罚款后，发包方同时给予追加违约金每次1万元。</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⑼双方约定承包人应做的其他工作：</w:t>
      </w:r>
      <w:r>
        <w:rPr>
          <w:rStyle w:val="14"/>
          <w:rFonts w:hint="eastAsia" w:ascii="宋体" w:hAnsi="宋体" w:cs="宋体"/>
          <w:color w:val="000000"/>
          <w:sz w:val="24"/>
          <w:szCs w:val="24"/>
        </w:rPr>
        <w:fldChar w:fldCharType="begin"/>
      </w:r>
      <w:r>
        <w:rPr>
          <w:rStyle w:val="14"/>
          <w:rFonts w:hint="eastAsia" w:ascii="宋体" w:hAnsi="宋体" w:cs="宋体"/>
          <w:color w:val="000000"/>
          <w:sz w:val="24"/>
          <w:szCs w:val="24"/>
        </w:rPr>
        <w:instrText xml:space="preserve"> = 1 \* GB3 </w:instrText>
      </w:r>
      <w:r>
        <w:rPr>
          <w:rStyle w:val="14"/>
          <w:rFonts w:hint="eastAsia" w:ascii="宋体" w:hAnsi="宋体" w:cs="宋体"/>
          <w:color w:val="000000"/>
          <w:sz w:val="24"/>
          <w:szCs w:val="24"/>
        </w:rPr>
        <w:fldChar w:fldCharType="separate"/>
      </w:r>
      <w:r>
        <w:rPr>
          <w:rStyle w:val="14"/>
          <w:rFonts w:hint="eastAsia" w:ascii="宋体" w:hAnsi="宋体" w:cs="宋体"/>
          <w:color w:val="000000"/>
          <w:sz w:val="24"/>
          <w:szCs w:val="24"/>
        </w:rPr>
        <w:t>①</w:t>
      </w:r>
      <w:r>
        <w:rPr>
          <w:rStyle w:val="14"/>
          <w:rFonts w:hint="eastAsia" w:ascii="宋体" w:hAnsi="宋体" w:cs="宋体"/>
          <w:color w:val="000000"/>
          <w:sz w:val="24"/>
          <w:szCs w:val="24"/>
        </w:rPr>
        <w:fldChar w:fldCharType="end"/>
      </w:r>
      <w:r>
        <w:rPr>
          <w:rStyle w:val="14"/>
          <w:rFonts w:hint="eastAsia" w:ascii="宋体" w:hAnsi="宋体" w:cs="宋体"/>
          <w:color w:val="000000"/>
          <w:sz w:val="24"/>
          <w:szCs w:val="24"/>
        </w:rPr>
        <w:t>承包人应与所有施工人员签订劳动用工合同，明确劳动报酬，及时足额支付劳动报酬，对发包人支付的工程款项，应优先用于支付工人工资；</w:t>
      </w:r>
      <w:r>
        <w:rPr>
          <w:rStyle w:val="14"/>
          <w:rFonts w:hint="eastAsia" w:ascii="宋体" w:hAnsi="宋体" w:cs="宋体"/>
          <w:color w:val="000000"/>
          <w:sz w:val="24"/>
          <w:szCs w:val="24"/>
        </w:rPr>
        <w:fldChar w:fldCharType="begin"/>
      </w:r>
      <w:r>
        <w:rPr>
          <w:rStyle w:val="14"/>
          <w:rFonts w:hint="eastAsia" w:ascii="宋体" w:hAnsi="宋体" w:cs="宋体"/>
          <w:color w:val="000000"/>
          <w:sz w:val="24"/>
          <w:szCs w:val="24"/>
        </w:rPr>
        <w:instrText xml:space="preserve"> = 2 \* GB3 </w:instrText>
      </w:r>
      <w:r>
        <w:rPr>
          <w:rStyle w:val="14"/>
          <w:rFonts w:hint="eastAsia" w:ascii="宋体" w:hAnsi="宋体" w:cs="宋体"/>
          <w:color w:val="000000"/>
          <w:sz w:val="24"/>
          <w:szCs w:val="24"/>
        </w:rPr>
        <w:fldChar w:fldCharType="separate"/>
      </w:r>
      <w:r>
        <w:rPr>
          <w:rStyle w:val="14"/>
          <w:rFonts w:hint="eastAsia" w:ascii="宋体" w:hAnsi="宋体" w:cs="宋体"/>
          <w:color w:val="000000"/>
          <w:sz w:val="24"/>
          <w:szCs w:val="24"/>
        </w:rPr>
        <w:t>②</w:t>
      </w:r>
      <w:r>
        <w:rPr>
          <w:rStyle w:val="14"/>
          <w:rFonts w:hint="eastAsia" w:ascii="宋体" w:hAnsi="宋体" w:cs="宋体"/>
          <w:color w:val="000000"/>
          <w:sz w:val="24"/>
          <w:szCs w:val="24"/>
        </w:rPr>
        <w:fldChar w:fldCharType="end"/>
      </w:r>
      <w:r>
        <w:rPr>
          <w:rStyle w:val="14"/>
          <w:rFonts w:hint="eastAsia" w:ascii="宋体" w:hAnsi="宋体" w:cs="宋体"/>
          <w:color w:val="000000"/>
          <w:sz w:val="24"/>
          <w:szCs w:val="24"/>
        </w:rPr>
        <w:t>未经发包人书面确认的分包项目，发包人可拒绝验收此项分包工程</w:t>
      </w:r>
      <w:r>
        <w:rPr>
          <w:rStyle w:val="14"/>
          <w:rFonts w:ascii="宋体" w:hAnsi="宋体" w:cs="宋体"/>
          <w:color w:val="000000"/>
          <w:sz w:val="24"/>
          <w:szCs w:val="24"/>
        </w:rPr>
        <w:t>，</w:t>
      </w:r>
      <w:r>
        <w:rPr>
          <w:rStyle w:val="14"/>
          <w:rFonts w:hint="eastAsia" w:ascii="宋体" w:hAnsi="宋体" w:cs="宋体"/>
          <w:color w:val="000000"/>
          <w:sz w:val="24"/>
          <w:szCs w:val="24"/>
        </w:rPr>
        <w:t>或将分包单位清除出场，并有权单方面解除本合同、没收履约保证金，由此造成的各种损失均由承包人承担；</w:t>
      </w:r>
      <w:r>
        <w:rPr>
          <w:rStyle w:val="14"/>
          <w:rFonts w:hint="eastAsia" w:ascii="宋体" w:hAnsi="宋体" w:cs="宋体"/>
          <w:color w:val="000000"/>
          <w:sz w:val="24"/>
          <w:szCs w:val="24"/>
        </w:rPr>
        <w:fldChar w:fldCharType="begin"/>
      </w:r>
      <w:r>
        <w:rPr>
          <w:rStyle w:val="14"/>
          <w:rFonts w:hint="eastAsia" w:ascii="宋体" w:hAnsi="宋体" w:cs="宋体"/>
          <w:color w:val="000000"/>
          <w:sz w:val="24"/>
          <w:szCs w:val="24"/>
        </w:rPr>
        <w:instrText xml:space="preserve"> = 3 \* GB3 </w:instrText>
      </w:r>
      <w:r>
        <w:rPr>
          <w:rStyle w:val="14"/>
          <w:rFonts w:hint="eastAsia" w:ascii="宋体" w:hAnsi="宋体" w:cs="宋体"/>
          <w:color w:val="000000"/>
          <w:sz w:val="24"/>
          <w:szCs w:val="24"/>
        </w:rPr>
        <w:fldChar w:fldCharType="separate"/>
      </w:r>
      <w:r>
        <w:rPr>
          <w:rStyle w:val="14"/>
          <w:rFonts w:hint="eastAsia" w:ascii="宋体" w:hAnsi="宋体" w:cs="宋体"/>
          <w:color w:val="000000"/>
          <w:sz w:val="24"/>
          <w:szCs w:val="24"/>
        </w:rPr>
        <w:t>③</w:t>
      </w:r>
      <w:r>
        <w:rPr>
          <w:rStyle w:val="14"/>
          <w:rFonts w:hint="eastAsia" w:ascii="宋体" w:hAnsi="宋体" w:cs="宋体"/>
          <w:color w:val="000000"/>
          <w:sz w:val="24"/>
          <w:szCs w:val="24"/>
        </w:rPr>
        <w:fldChar w:fldCharType="end"/>
      </w:r>
      <w:r>
        <w:rPr>
          <w:rStyle w:val="14"/>
          <w:rFonts w:hint="eastAsia" w:ascii="宋体" w:hAnsi="宋体" w:cs="宋体"/>
          <w:color w:val="000000"/>
          <w:sz w:val="24"/>
          <w:szCs w:val="24"/>
        </w:rPr>
        <w:t>施工过程中应采用样板引路，采取挂牌标识，严格质量责任，严密质量管理体系；</w:t>
      </w:r>
      <w:r>
        <w:rPr>
          <w:rStyle w:val="14"/>
          <w:rFonts w:hint="eastAsia" w:ascii="宋体" w:hAnsi="宋体" w:cs="宋体"/>
          <w:color w:val="000000"/>
          <w:sz w:val="24"/>
          <w:szCs w:val="24"/>
        </w:rPr>
        <w:fldChar w:fldCharType="begin"/>
      </w:r>
      <w:r>
        <w:rPr>
          <w:rStyle w:val="14"/>
          <w:rFonts w:hint="eastAsia" w:ascii="宋体" w:hAnsi="宋体" w:cs="宋体"/>
          <w:color w:val="000000"/>
          <w:sz w:val="24"/>
          <w:szCs w:val="24"/>
        </w:rPr>
        <w:instrText xml:space="preserve"> = 4 \* GB3 </w:instrText>
      </w:r>
      <w:r>
        <w:rPr>
          <w:rStyle w:val="14"/>
          <w:rFonts w:hint="eastAsia" w:ascii="宋体" w:hAnsi="宋体" w:cs="宋体"/>
          <w:color w:val="000000"/>
          <w:sz w:val="24"/>
          <w:szCs w:val="24"/>
        </w:rPr>
        <w:fldChar w:fldCharType="separate"/>
      </w:r>
      <w:r>
        <w:rPr>
          <w:rStyle w:val="14"/>
          <w:rFonts w:hint="eastAsia" w:ascii="宋体" w:hAnsi="宋体" w:cs="宋体"/>
          <w:color w:val="000000"/>
          <w:sz w:val="24"/>
          <w:szCs w:val="24"/>
        </w:rPr>
        <w:t>④</w:t>
      </w:r>
      <w:r>
        <w:rPr>
          <w:rStyle w:val="14"/>
          <w:rFonts w:hint="eastAsia" w:ascii="宋体" w:hAnsi="宋体" w:cs="宋体"/>
          <w:color w:val="000000"/>
          <w:sz w:val="24"/>
          <w:szCs w:val="24"/>
        </w:rPr>
        <w:fldChar w:fldCharType="end"/>
      </w:r>
      <w:r>
        <w:rPr>
          <w:rStyle w:val="14"/>
          <w:rFonts w:hint="eastAsia" w:ascii="宋体" w:hAnsi="宋体" w:cs="宋体"/>
          <w:color w:val="000000"/>
          <w:sz w:val="24"/>
          <w:szCs w:val="24"/>
        </w:rPr>
        <w:t>自觉接受发包人及委托管理、监理的监督管理，参加发包人一天一会办和监理组织的工程例会，及时报告工程情况，并接受整改要求；</w:t>
      </w:r>
      <w:r>
        <w:rPr>
          <w:rStyle w:val="14"/>
          <w:rFonts w:hint="eastAsia" w:ascii="宋体" w:hAnsi="宋体" w:cs="宋体"/>
          <w:color w:val="000000"/>
          <w:sz w:val="24"/>
          <w:szCs w:val="24"/>
        </w:rPr>
        <w:fldChar w:fldCharType="begin"/>
      </w:r>
      <w:r>
        <w:rPr>
          <w:rStyle w:val="14"/>
          <w:rFonts w:hint="eastAsia" w:ascii="宋体" w:hAnsi="宋体" w:cs="宋体"/>
          <w:color w:val="000000"/>
          <w:sz w:val="24"/>
          <w:szCs w:val="24"/>
        </w:rPr>
        <w:instrText xml:space="preserve"> = 5 \* GB3 </w:instrText>
      </w:r>
      <w:r>
        <w:rPr>
          <w:rStyle w:val="14"/>
          <w:rFonts w:hint="eastAsia" w:ascii="宋体" w:hAnsi="宋体" w:cs="宋体"/>
          <w:color w:val="000000"/>
          <w:sz w:val="24"/>
          <w:szCs w:val="24"/>
        </w:rPr>
        <w:fldChar w:fldCharType="separate"/>
      </w:r>
      <w:r>
        <w:rPr>
          <w:rStyle w:val="14"/>
          <w:rFonts w:hint="eastAsia" w:ascii="宋体" w:hAnsi="宋体" w:cs="宋体"/>
          <w:color w:val="000000"/>
          <w:sz w:val="24"/>
          <w:szCs w:val="24"/>
        </w:rPr>
        <w:t>⑤</w:t>
      </w:r>
      <w:r>
        <w:rPr>
          <w:rStyle w:val="14"/>
          <w:rFonts w:hint="eastAsia" w:ascii="宋体" w:hAnsi="宋体" w:cs="宋体"/>
          <w:color w:val="000000"/>
          <w:sz w:val="24"/>
          <w:szCs w:val="24"/>
        </w:rPr>
        <w:fldChar w:fldCharType="end"/>
      </w:r>
      <w:r>
        <w:rPr>
          <w:rStyle w:val="14"/>
          <w:rFonts w:hint="eastAsia" w:ascii="宋体" w:hAnsi="宋体" w:cs="宋体"/>
          <w:color w:val="000000"/>
          <w:sz w:val="24"/>
          <w:szCs w:val="24"/>
        </w:rPr>
        <w:t>协调处理好各种公共关系，承担因承包人责任引发的损失和处理工作，包括因承包人违反有关规定而导致政府相关部门的处罚；</w:t>
      </w:r>
      <w:r>
        <w:rPr>
          <w:rStyle w:val="14"/>
          <w:rFonts w:hint="eastAsia" w:ascii="宋体" w:hAnsi="宋体" w:cs="宋体"/>
          <w:color w:val="000000"/>
          <w:sz w:val="24"/>
          <w:szCs w:val="24"/>
        </w:rPr>
        <w:fldChar w:fldCharType="begin"/>
      </w:r>
      <w:r>
        <w:rPr>
          <w:rStyle w:val="14"/>
          <w:rFonts w:hint="eastAsia" w:ascii="宋体" w:hAnsi="宋体" w:cs="宋体"/>
          <w:color w:val="000000"/>
          <w:sz w:val="24"/>
          <w:szCs w:val="24"/>
        </w:rPr>
        <w:instrText xml:space="preserve"> = 6 \* GB3 </w:instrText>
      </w:r>
      <w:r>
        <w:rPr>
          <w:rStyle w:val="14"/>
          <w:rFonts w:hint="eastAsia" w:ascii="宋体" w:hAnsi="宋体" w:cs="宋体"/>
          <w:color w:val="000000"/>
          <w:sz w:val="24"/>
          <w:szCs w:val="24"/>
        </w:rPr>
        <w:fldChar w:fldCharType="separate"/>
      </w:r>
      <w:r>
        <w:rPr>
          <w:rStyle w:val="14"/>
          <w:rFonts w:hint="eastAsia" w:ascii="宋体" w:hAnsi="宋体" w:cs="宋体"/>
          <w:color w:val="000000"/>
          <w:sz w:val="24"/>
          <w:szCs w:val="24"/>
        </w:rPr>
        <w:t>⑥</w:t>
      </w:r>
      <w:r>
        <w:rPr>
          <w:rStyle w:val="14"/>
          <w:rFonts w:hint="eastAsia" w:ascii="宋体" w:hAnsi="宋体" w:cs="宋体"/>
          <w:color w:val="000000"/>
          <w:sz w:val="24"/>
          <w:szCs w:val="24"/>
        </w:rPr>
        <w:fldChar w:fldCharType="end"/>
      </w:r>
      <w:r>
        <w:rPr>
          <w:rStyle w:val="14"/>
          <w:rFonts w:hint="eastAsia" w:ascii="宋体" w:hAnsi="宋体" w:cs="宋体"/>
          <w:color w:val="000000"/>
          <w:sz w:val="24"/>
          <w:szCs w:val="24"/>
        </w:rPr>
        <w:t>负责发包人提供材料的仓储保管工作；</w:t>
      </w:r>
      <w:r>
        <w:rPr>
          <w:rStyle w:val="14"/>
          <w:rFonts w:hint="eastAsia" w:ascii="宋体" w:hAnsi="宋体" w:cs="宋体"/>
          <w:color w:val="000000"/>
          <w:sz w:val="24"/>
          <w:szCs w:val="24"/>
        </w:rPr>
        <w:fldChar w:fldCharType="begin"/>
      </w:r>
      <w:r>
        <w:rPr>
          <w:rStyle w:val="14"/>
          <w:rFonts w:hint="eastAsia" w:ascii="宋体" w:hAnsi="宋体" w:cs="宋体"/>
          <w:color w:val="000000"/>
          <w:sz w:val="24"/>
          <w:szCs w:val="24"/>
        </w:rPr>
        <w:instrText xml:space="preserve"> = 7 \* GB3 </w:instrText>
      </w:r>
      <w:r>
        <w:rPr>
          <w:rStyle w:val="14"/>
          <w:rFonts w:hint="eastAsia" w:ascii="宋体" w:hAnsi="宋体" w:cs="宋体"/>
          <w:color w:val="000000"/>
          <w:sz w:val="24"/>
          <w:szCs w:val="24"/>
        </w:rPr>
        <w:fldChar w:fldCharType="separate"/>
      </w:r>
      <w:r>
        <w:rPr>
          <w:rStyle w:val="14"/>
          <w:rFonts w:hint="eastAsia" w:ascii="宋体" w:hAnsi="宋体" w:cs="宋体"/>
          <w:color w:val="000000"/>
          <w:sz w:val="24"/>
          <w:szCs w:val="24"/>
        </w:rPr>
        <w:t>⑦</w:t>
      </w:r>
      <w:r>
        <w:rPr>
          <w:rStyle w:val="14"/>
          <w:rFonts w:hint="eastAsia" w:ascii="宋体" w:hAnsi="宋体" w:cs="宋体"/>
          <w:color w:val="000000"/>
          <w:sz w:val="24"/>
          <w:szCs w:val="24"/>
        </w:rPr>
        <w:fldChar w:fldCharType="end"/>
      </w:r>
      <w:r>
        <w:rPr>
          <w:rStyle w:val="14"/>
          <w:rFonts w:hint="eastAsia" w:ascii="宋体" w:hAnsi="宋体" w:cs="宋体"/>
          <w:color w:val="000000"/>
          <w:sz w:val="24"/>
          <w:szCs w:val="24"/>
        </w:rPr>
        <w:t>及时办理有关签证和确认手续；</w:t>
      </w:r>
      <w:r>
        <w:rPr>
          <w:rStyle w:val="14"/>
          <w:rFonts w:hint="eastAsia" w:ascii="宋体" w:hAnsi="宋体" w:cs="宋体"/>
          <w:color w:val="000000"/>
          <w:sz w:val="24"/>
          <w:szCs w:val="24"/>
        </w:rPr>
        <w:fldChar w:fldCharType="begin"/>
      </w:r>
      <w:r>
        <w:rPr>
          <w:rStyle w:val="14"/>
          <w:rFonts w:hint="eastAsia" w:ascii="宋体" w:hAnsi="宋体" w:cs="宋体"/>
          <w:color w:val="000000"/>
          <w:sz w:val="24"/>
          <w:szCs w:val="24"/>
        </w:rPr>
        <w:instrText xml:space="preserve"> = 8 \* GB3 </w:instrText>
      </w:r>
      <w:r>
        <w:rPr>
          <w:rStyle w:val="14"/>
          <w:rFonts w:hint="eastAsia" w:ascii="宋体" w:hAnsi="宋体" w:cs="宋体"/>
          <w:color w:val="000000"/>
          <w:sz w:val="24"/>
          <w:szCs w:val="24"/>
        </w:rPr>
        <w:fldChar w:fldCharType="separate"/>
      </w:r>
      <w:r>
        <w:rPr>
          <w:rStyle w:val="14"/>
          <w:rFonts w:hint="eastAsia" w:ascii="宋体" w:hAnsi="宋体" w:cs="宋体"/>
          <w:color w:val="000000"/>
          <w:sz w:val="24"/>
          <w:szCs w:val="24"/>
        </w:rPr>
        <w:t>⑧</w:t>
      </w:r>
      <w:r>
        <w:rPr>
          <w:rStyle w:val="14"/>
          <w:rFonts w:hint="eastAsia" w:ascii="宋体" w:hAnsi="宋体" w:cs="宋体"/>
          <w:color w:val="000000"/>
          <w:sz w:val="24"/>
          <w:szCs w:val="24"/>
        </w:rPr>
        <w:fldChar w:fldCharType="end"/>
      </w:r>
      <w:r>
        <w:rPr>
          <w:rStyle w:val="14"/>
          <w:rFonts w:hint="eastAsia" w:ascii="宋体" w:hAnsi="宋体" w:cs="宋体"/>
          <w:color w:val="000000"/>
          <w:sz w:val="24"/>
          <w:szCs w:val="24"/>
        </w:rPr>
        <w:t>红线外至施工点所需临时道路等临时设施由承包人自行解决，费用自理。</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（10）承包人自行负责施工全过程中协调各方工作、业务关系、解决矛盾等，发包人不承担相应的责任。</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11）承包人提交的竣工资料的内容：承包人在工程竣工验收合格一月内向发包人递交竣工结算报告及完整的结算资料，并提供需要提供的其他资料，同时必须提供工程量计算的底稿、完整的变更签证等相关的结算资料。</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承包人需要提交的竣工资料套数：</w:t>
      </w:r>
      <w:r>
        <w:rPr>
          <w:rStyle w:val="14"/>
          <w:rFonts w:hint="eastAsia" w:ascii="宋体" w:hAnsi="宋体" w:cs="宋体"/>
          <w:color w:val="000000"/>
          <w:sz w:val="24"/>
          <w:szCs w:val="24"/>
          <w:u w:val="single"/>
        </w:rPr>
        <w:t>一式五套</w:t>
      </w:r>
      <w:r>
        <w:rPr>
          <w:rStyle w:val="14"/>
          <w:rFonts w:hint="eastAsia" w:ascii="宋体" w:hAnsi="宋体" w:cs="宋体"/>
          <w:color w:val="000000"/>
          <w:sz w:val="24"/>
          <w:szCs w:val="24"/>
        </w:rPr>
        <w:t>。</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承包人提交的竣工资料的费用承担：</w:t>
      </w:r>
      <w:r>
        <w:rPr>
          <w:rStyle w:val="14"/>
          <w:rFonts w:hint="eastAsia" w:ascii="宋体" w:hAnsi="宋体" w:cs="宋体"/>
          <w:color w:val="000000"/>
          <w:sz w:val="24"/>
          <w:szCs w:val="24"/>
          <w:u w:val="single"/>
        </w:rPr>
        <w:t>由承包人承担</w:t>
      </w:r>
      <w:r>
        <w:rPr>
          <w:rStyle w:val="14"/>
          <w:rFonts w:hint="eastAsia" w:ascii="宋体" w:hAnsi="宋体" w:cs="宋体"/>
          <w:color w:val="000000"/>
          <w:sz w:val="24"/>
          <w:szCs w:val="24"/>
        </w:rPr>
        <w:t>。</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承包人提交的竣工资料移交时间：</w:t>
      </w:r>
      <w:r>
        <w:rPr>
          <w:rStyle w:val="14"/>
          <w:rFonts w:hint="eastAsia" w:ascii="宋体" w:hAnsi="宋体" w:cs="宋体"/>
          <w:color w:val="000000"/>
          <w:sz w:val="24"/>
          <w:szCs w:val="24"/>
          <w:u w:val="single"/>
        </w:rPr>
        <w:t>在工程竣工验收合格一个月内。</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承包人提交的竣工资料形式要求：</w:t>
      </w:r>
      <w:r>
        <w:rPr>
          <w:rStyle w:val="14"/>
          <w:rFonts w:hint="eastAsia" w:ascii="宋体" w:hAnsi="宋体" w:cs="宋体"/>
          <w:color w:val="000000"/>
          <w:sz w:val="24"/>
          <w:szCs w:val="24"/>
          <w:u w:val="single"/>
        </w:rPr>
        <w:t>提供工程量计算的底稿、完整的变更签证等相关的结算资料，形式另行约定。</w:t>
      </w:r>
    </w:p>
    <w:p>
      <w:pPr>
        <w:pStyle w:val="20"/>
        <w:bidi w:val="0"/>
        <w:spacing w:line="500" w:lineRule="exact"/>
        <w:rPr>
          <w:rStyle w:val="14"/>
          <w:rFonts w:ascii="宋体" w:hAnsi="宋体" w:cs="宋体"/>
          <w:b/>
          <w:bCs/>
          <w:color w:val="000000"/>
          <w:sz w:val="24"/>
          <w:szCs w:val="24"/>
        </w:rPr>
      </w:pPr>
      <w:r>
        <w:rPr>
          <w:rStyle w:val="14"/>
          <w:rFonts w:hint="eastAsia" w:ascii="宋体" w:hAnsi="宋体" w:cs="宋体"/>
          <w:b/>
          <w:bCs/>
          <w:color w:val="000000"/>
          <w:sz w:val="24"/>
          <w:szCs w:val="24"/>
        </w:rPr>
        <w:t>除执行通用条款相关内容外，承包人还应满足下列安全施工管理要求：</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color w:val="000000"/>
          <w:sz w:val="24"/>
          <w:szCs w:val="24"/>
          <w:u w:val="single"/>
        </w:rPr>
        <w:t>1．承担因承包人责任导致的安全事故所造成的一切经济损失和善后的处理工作，负责安全生产设施的搭设、防护及管理，按规定配备和发放个人安全防护用品；</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color w:val="000000"/>
          <w:sz w:val="24"/>
          <w:szCs w:val="24"/>
          <w:u w:val="single"/>
        </w:rPr>
        <w:t>2.开工前由施工单位做好整个施工过程的安全预案、安全技术措施和施工现场照明用电方案、专项施工方案。</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3.2 项目经理</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3.2.1 项目经理：</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姓    名：</w:t>
      </w:r>
      <w:r>
        <w:rPr>
          <w:rStyle w:val="14"/>
          <w:rFonts w:hint="eastAsia" w:ascii="宋体" w:hAnsi="宋体" w:cs="宋体"/>
          <w:color w:val="000000"/>
          <w:sz w:val="24"/>
          <w:szCs w:val="24"/>
          <w:u w:val="single"/>
        </w:rPr>
        <w:t xml:space="preserve">                </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身份证号：</w:t>
      </w:r>
      <w:r>
        <w:rPr>
          <w:rStyle w:val="14"/>
          <w:rFonts w:hint="eastAsia" w:ascii="宋体" w:hAnsi="宋体" w:cs="宋体"/>
          <w:color w:val="000000"/>
          <w:sz w:val="24"/>
          <w:szCs w:val="24"/>
          <w:u w:val="single"/>
        </w:rPr>
        <w:t xml:space="preserve">                </w:t>
      </w:r>
      <w:r>
        <w:rPr>
          <w:rStyle w:val="14"/>
          <w:rFonts w:hint="eastAsia" w:ascii="宋体" w:hAnsi="宋体" w:cs="宋体"/>
          <w:color w:val="000000"/>
          <w:sz w:val="24"/>
          <w:szCs w:val="24"/>
        </w:rPr>
        <w:t xml:space="preserve">  </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建造师执业资格等级：</w:t>
      </w:r>
      <w:r>
        <w:rPr>
          <w:rStyle w:val="14"/>
          <w:rFonts w:hint="eastAsia" w:ascii="宋体" w:hAnsi="宋体" w:cs="宋体"/>
          <w:color w:val="000000"/>
          <w:sz w:val="24"/>
          <w:szCs w:val="24"/>
          <w:u w:val="single"/>
        </w:rPr>
        <w:t xml:space="preserve">             </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 xml:space="preserve">建造师注册证书号： </w:t>
      </w:r>
      <w:r>
        <w:rPr>
          <w:rStyle w:val="14"/>
          <w:rFonts w:hint="eastAsia" w:ascii="宋体" w:hAnsi="宋体" w:cs="宋体"/>
          <w:color w:val="000000"/>
          <w:sz w:val="24"/>
          <w:szCs w:val="24"/>
          <w:u w:val="single"/>
        </w:rPr>
        <w:t xml:space="preserve">              </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安全生产考核合格证书号：</w:t>
      </w:r>
      <w:r>
        <w:rPr>
          <w:rStyle w:val="14"/>
          <w:rFonts w:hint="eastAsia" w:ascii="宋体" w:hAnsi="宋体" w:cs="宋体"/>
          <w:color w:val="000000"/>
          <w:sz w:val="24"/>
          <w:szCs w:val="24"/>
          <w:u w:val="single"/>
        </w:rPr>
        <w:t xml:space="preserve">         </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承包人对项目经理的授权范围如下：</w:t>
      </w:r>
      <w:r>
        <w:rPr>
          <w:rStyle w:val="14"/>
          <w:rFonts w:hint="eastAsia" w:ascii="宋体" w:hAnsi="宋体" w:cs="宋体"/>
          <w:color w:val="000000"/>
          <w:sz w:val="24"/>
          <w:szCs w:val="24"/>
          <w:u w:val="single"/>
        </w:rPr>
        <w:t>代表承包人行使合同约定的承包人权利和义务，履行合同约定的承包人职责</w:t>
      </w:r>
      <w:r>
        <w:rPr>
          <w:rStyle w:val="14"/>
          <w:rFonts w:hint="eastAsia" w:ascii="宋体" w:hAnsi="宋体" w:cs="宋体"/>
          <w:color w:val="000000"/>
          <w:sz w:val="24"/>
          <w:szCs w:val="24"/>
        </w:rPr>
        <w:t>。</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关于项目负责人每月在施工现场的时间要求：</w:t>
      </w:r>
      <w:r>
        <w:rPr>
          <w:rStyle w:val="14"/>
          <w:rFonts w:hint="eastAsia" w:ascii="宋体" w:hAnsi="宋体" w:cs="宋体"/>
          <w:color w:val="000000"/>
          <w:sz w:val="24"/>
          <w:szCs w:val="24"/>
          <w:u w:val="single"/>
        </w:rPr>
        <w:t>项目负责人必须保证全过程在工地（特殊情况下需离开时必须以书面形式事先征得发包人同意后方可离开），否则发包人有权追究责任。</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承包人未提交劳动合同，以及没有为项目负责人缴纳社会保险证明的违约责任：</w:t>
      </w:r>
      <w:r>
        <w:rPr>
          <w:rStyle w:val="14"/>
          <w:rFonts w:hint="eastAsia" w:ascii="宋体" w:hAnsi="宋体" w:cs="宋体"/>
          <w:color w:val="000000"/>
          <w:sz w:val="24"/>
          <w:szCs w:val="24"/>
          <w:u w:val="single"/>
        </w:rPr>
        <w:t>详见专用条款</w:t>
      </w:r>
      <w:r>
        <w:rPr>
          <w:rStyle w:val="14"/>
          <w:rFonts w:ascii="宋体" w:hAnsi="宋体" w:cs="宋体"/>
          <w:color w:val="000000"/>
          <w:sz w:val="24"/>
          <w:szCs w:val="24"/>
          <w:u w:val="single"/>
        </w:rPr>
        <w:t>16.2.2.21</w:t>
      </w:r>
      <w:r>
        <w:rPr>
          <w:rStyle w:val="14"/>
          <w:rFonts w:hint="eastAsia" w:ascii="宋体" w:hAnsi="宋体" w:cs="宋体"/>
          <w:color w:val="000000"/>
          <w:sz w:val="24"/>
          <w:szCs w:val="24"/>
          <w:u w:val="single"/>
        </w:rPr>
        <w:t>条</w:t>
      </w:r>
      <w:r>
        <w:rPr>
          <w:rStyle w:val="14"/>
          <w:rFonts w:hint="eastAsia" w:ascii="宋体" w:hAnsi="宋体" w:cs="宋体"/>
          <w:color w:val="000000"/>
          <w:sz w:val="24"/>
          <w:szCs w:val="24"/>
        </w:rPr>
        <w:t>。</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color w:val="000000"/>
          <w:sz w:val="24"/>
          <w:szCs w:val="24"/>
        </w:rPr>
        <w:t>项目负责人未经批准，擅自离开施工现场的违约责任：</w:t>
      </w:r>
      <w:r>
        <w:rPr>
          <w:rStyle w:val="14"/>
          <w:rFonts w:hint="eastAsia" w:ascii="宋体" w:hAnsi="宋体" w:cs="宋体"/>
          <w:color w:val="000000"/>
          <w:sz w:val="24"/>
          <w:szCs w:val="24"/>
          <w:u w:val="single"/>
        </w:rPr>
        <w:t>详见专用条款16.2.2.18条</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3.2.2 承包人擅自更换项目经理的违约责任：</w:t>
      </w:r>
      <w:r>
        <w:rPr>
          <w:rStyle w:val="14"/>
          <w:rFonts w:hint="eastAsia" w:ascii="宋体" w:hAnsi="宋体" w:cs="宋体"/>
          <w:color w:val="000000"/>
          <w:sz w:val="24"/>
          <w:szCs w:val="24"/>
          <w:u w:val="single"/>
        </w:rPr>
        <w:t>详见专用条款16.2.2.22条</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3.2.3 承包人无正当理由拒绝更换项目经理的违约责任：</w:t>
      </w:r>
      <w:r>
        <w:rPr>
          <w:rStyle w:val="14"/>
          <w:rFonts w:hint="eastAsia" w:ascii="宋体" w:hAnsi="宋体" w:cs="宋体"/>
          <w:color w:val="000000"/>
          <w:sz w:val="24"/>
          <w:szCs w:val="24"/>
          <w:u w:val="single"/>
        </w:rPr>
        <w:t>详见专用条款16.2.2.23条</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3.3 承包人人员</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3.3.1 承包人提交项目管理机构及施工现场管理人员安排</w:t>
      </w:r>
      <w:r>
        <w:rPr>
          <w:rStyle w:val="14"/>
          <w:rFonts w:hint="eastAsia" w:ascii="宋体" w:hAnsi="宋体" w:cs="宋体"/>
          <w:color w:val="000000"/>
          <w:sz w:val="24"/>
          <w:szCs w:val="24"/>
          <w:u w:val="single"/>
        </w:rPr>
        <w:t>报告的期限：成交通知书发出后3日内，向监理人提供项目管理机构及施工现场人员安排的报告，其内容应当包含合同管理、施工、技术、材料、质量、安全、财务等主要施工管理人员名单及其岗位、注册执业证书等资料；上述人员数量和资格必须符合苏建建管（2014）701号要求。</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3.3.2 承包人无正当理由拒绝撤换主要施工管理人员的违约责任：</w:t>
      </w:r>
      <w:r>
        <w:rPr>
          <w:rStyle w:val="14"/>
          <w:rFonts w:hint="eastAsia" w:ascii="宋体" w:hAnsi="宋体" w:cs="宋体"/>
          <w:color w:val="000000"/>
          <w:sz w:val="24"/>
          <w:szCs w:val="24"/>
          <w:u w:val="single"/>
        </w:rPr>
        <w:t>自愿承担每人每次1万元的违约金。</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3.3.3 承包人主要施工管理人员（项目经理、质检员、安全员、施工员、技术员）离开施工现场的批准要求：</w:t>
      </w:r>
      <w:r>
        <w:rPr>
          <w:rStyle w:val="14"/>
          <w:rFonts w:hint="eastAsia" w:ascii="宋体" w:hAnsi="宋体" w:cs="宋体"/>
          <w:color w:val="000000"/>
          <w:sz w:val="24"/>
          <w:szCs w:val="24"/>
          <w:u w:val="single"/>
        </w:rPr>
        <w:t>提前12小时向发包人提交书面请假手续，得到书面批准后方可离开。施工场所所有工作人员必须戴安全帽，特种作业人员必须持证上岗，否则每发现一人次承包人支付违约金400元。</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3.3.4承包人擅自更换主要施工管理人员的违约责任：</w:t>
      </w:r>
      <w:r>
        <w:rPr>
          <w:rStyle w:val="14"/>
          <w:rFonts w:hint="eastAsia" w:ascii="宋体" w:hAnsi="宋体" w:cs="宋体"/>
          <w:color w:val="000000"/>
          <w:sz w:val="24"/>
          <w:szCs w:val="24"/>
          <w:u w:val="single"/>
        </w:rPr>
        <w:t>响应文件中明确的项目注册建造师及本工程项目管理机构的主要技术人员除出现江苏省建设厅苏建招〔2005〕580号文件中所列情形之外不得变更。承包人在开工时或施工过程中擅自变更的，发包人有权对承包人每次处以10万元人民币的违约金，直至解除合同，并追究由此带来的发包人的一切损失；如有变更，也必须执行江苏省建设厅苏建招〔2005〕580号文件中规定的变更程序。项目注册建造师及本工程项目管理机构人员必须保证全过程在工地，（特殊情况下需离开时必须事先以书面形式征得发包人同意后方可离开</w:t>
      </w:r>
      <w:r>
        <w:rPr>
          <w:rStyle w:val="14"/>
          <w:rFonts w:ascii="宋体" w:hAnsi="宋体" w:cs="宋体"/>
          <w:color w:val="000000"/>
          <w:sz w:val="24"/>
          <w:szCs w:val="24"/>
          <w:u w:val="single"/>
        </w:rPr>
        <w:t>，</w:t>
      </w:r>
      <w:r>
        <w:rPr>
          <w:rStyle w:val="14"/>
          <w:rFonts w:hint="eastAsia" w:ascii="宋体" w:hAnsi="宋体" w:cs="宋体"/>
          <w:color w:val="000000"/>
          <w:sz w:val="24"/>
          <w:szCs w:val="24"/>
          <w:u w:val="single"/>
        </w:rPr>
        <w:t>否则发包人有权按承包方的承诺对承包方追究违约责任。</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承包人主要施工管理人员擅自离开施工现场的违约责任：</w:t>
      </w:r>
      <w:r>
        <w:rPr>
          <w:rStyle w:val="14"/>
          <w:rFonts w:hint="eastAsia" w:ascii="宋体" w:hAnsi="宋体" w:cs="宋体"/>
          <w:color w:val="000000"/>
          <w:sz w:val="24"/>
          <w:szCs w:val="24"/>
          <w:u w:val="single"/>
        </w:rPr>
        <w:t>详见专用条款16.2.2.18条</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3</w:t>
      </w:r>
      <w:bookmarkStart w:id="148" w:name="_Toc292559364"/>
      <w:bookmarkStart w:id="149" w:name="_Toc297123492"/>
      <w:bookmarkStart w:id="150" w:name="_Toc296346660"/>
      <w:bookmarkStart w:id="151" w:name="_Toc312677988"/>
      <w:bookmarkStart w:id="152" w:name="_Toc300934945"/>
      <w:bookmarkStart w:id="153" w:name="_Toc304295523"/>
      <w:bookmarkStart w:id="154" w:name="_Toc297216151"/>
      <w:bookmarkStart w:id="155" w:name="_Toc297048345"/>
      <w:bookmarkStart w:id="156" w:name="_Toc296890987"/>
      <w:bookmarkStart w:id="157" w:name="_Toc296944498"/>
      <w:bookmarkStart w:id="158" w:name="_Toc296891199"/>
      <w:bookmarkStart w:id="159" w:name="_Toc297120459"/>
      <w:bookmarkStart w:id="160" w:name="_Toc296347158"/>
      <w:bookmarkStart w:id="161" w:name="_Toc296503159"/>
      <w:bookmarkStart w:id="162" w:name="_Toc303539102"/>
      <w:bookmarkStart w:id="163" w:name="_Toc292559869"/>
      <w:r>
        <w:rPr>
          <w:rStyle w:val="14"/>
          <w:rFonts w:hint="eastAsia" w:ascii="宋体" w:hAnsi="宋体" w:cs="宋体"/>
          <w:bCs/>
          <w:color w:val="000000"/>
          <w:sz w:val="24"/>
          <w:szCs w:val="24"/>
        </w:rPr>
        <w:t>.4分包</w:t>
      </w:r>
    </w:p>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3</w:t>
      </w:r>
      <w:bookmarkStart w:id="164" w:name="_Toc297048346"/>
      <w:bookmarkStart w:id="165" w:name="_Toc297123493"/>
      <w:bookmarkStart w:id="166" w:name="_Toc292559870"/>
      <w:bookmarkStart w:id="167" w:name="_Toc300934946"/>
      <w:bookmarkStart w:id="168" w:name="_Toc297120460"/>
      <w:bookmarkStart w:id="169" w:name="_Toc296347159"/>
      <w:bookmarkStart w:id="170" w:name="_Toc296346661"/>
      <w:bookmarkStart w:id="171" w:name="_Toc296503160"/>
      <w:bookmarkStart w:id="172" w:name="_Toc296891200"/>
      <w:bookmarkStart w:id="173" w:name="_Toc297216152"/>
      <w:bookmarkStart w:id="174" w:name="_Toc296944499"/>
      <w:bookmarkStart w:id="175" w:name="_Toc303539103"/>
      <w:bookmarkStart w:id="176" w:name="_Toc304295524"/>
      <w:bookmarkStart w:id="177" w:name="_Toc296890988"/>
      <w:bookmarkStart w:id="178" w:name="_Toc292559365"/>
      <w:bookmarkStart w:id="179" w:name="_Toc318581158"/>
      <w:bookmarkStart w:id="180" w:name="_Toc312677989"/>
      <w:r>
        <w:rPr>
          <w:rStyle w:val="14"/>
          <w:rFonts w:hint="eastAsia" w:ascii="宋体" w:hAnsi="宋体" w:cs="宋体"/>
          <w:color w:val="000000"/>
          <w:sz w:val="24"/>
          <w:szCs w:val="24"/>
        </w:rPr>
        <w:t>.4.1 分包的一般约定</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禁止分包的工程包括：</w:t>
      </w:r>
      <w:r>
        <w:rPr>
          <w:rStyle w:val="14"/>
          <w:rFonts w:hint="eastAsia" w:ascii="宋体" w:hAnsi="宋体" w:cs="宋体"/>
          <w:color w:val="000000"/>
          <w:sz w:val="24"/>
          <w:szCs w:val="24"/>
          <w:u w:val="single"/>
        </w:rPr>
        <w:t>本工程严禁分包、转包</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主体结构、关键性工作的范围：</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Start w:id="181" w:name="_Toc297120461"/>
      <w:bookmarkStart w:id="182" w:name="_Toc296347160"/>
      <w:bookmarkStart w:id="183" w:name="_Toc303539104"/>
      <w:bookmarkStart w:id="184" w:name="_Toc297123494"/>
      <w:bookmarkStart w:id="185" w:name="_Toc300934947"/>
      <w:bookmarkStart w:id="186" w:name="_Toc296346662"/>
      <w:bookmarkStart w:id="187" w:name="_Toc296891201"/>
      <w:bookmarkStart w:id="188" w:name="_Toc304295525"/>
      <w:bookmarkStart w:id="189" w:name="_Toc296944500"/>
      <w:bookmarkStart w:id="190" w:name="_Toc296890989"/>
      <w:bookmarkStart w:id="191" w:name="_Toc297048347"/>
      <w:bookmarkStart w:id="192" w:name="_Toc297216153"/>
      <w:bookmarkStart w:id="193" w:name="_Toc296503161"/>
      <w:r>
        <w:rPr>
          <w:rStyle w:val="14"/>
          <w:rFonts w:hint="eastAsia" w:ascii="宋体" w:hAnsi="宋体" w:cs="宋体"/>
          <w:color w:val="000000"/>
          <w:sz w:val="24"/>
          <w:szCs w:val="24"/>
          <w:u w:val="single"/>
        </w:rPr>
        <w:t>非发包人同意，承包人不得将本工程分包。承包人如有违反，发包方有权要求承包方退场，一切损失均由承包方承担，并向当地建设行政主管部门报告；因承包人不具备施工资质而必须分包的专业工程，发包人有权指定分包单位，承包人不得向发包人或分包人收取总承包管理费；</w:t>
      </w:r>
    </w:p>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 xml:space="preserve">    3</w:t>
      </w:r>
      <w:bookmarkStart w:id="194" w:name="_Toc312677990"/>
      <w:bookmarkStart w:id="195" w:name="_Toc318581159"/>
      <w:r>
        <w:rPr>
          <w:rStyle w:val="14"/>
          <w:rFonts w:hint="eastAsia" w:ascii="宋体" w:hAnsi="宋体" w:cs="宋体"/>
          <w:color w:val="000000"/>
          <w:sz w:val="24"/>
          <w:szCs w:val="24"/>
        </w:rPr>
        <w:t>.4.2分包的确定</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允许分包的专业工程包括：</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其他关于分包的约定：</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3.4.3 分包合同价款</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关于分包合同价款支付的约定：</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bookmarkEnd w:id="194"/>
    <w:bookmarkEnd w:id="195"/>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3.5 工程照管与成品、半成品保护</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承包人负责照管工程及工程相关的材料、工程设备的起始时间：</w:t>
      </w:r>
      <w:r>
        <w:rPr>
          <w:rStyle w:val="14"/>
          <w:rFonts w:hint="eastAsia" w:ascii="宋体" w:hAnsi="宋体" w:cs="宋体"/>
          <w:color w:val="000000"/>
          <w:sz w:val="24"/>
          <w:szCs w:val="24"/>
          <w:u w:val="single"/>
        </w:rPr>
        <w:t>合同有效期内</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3.6履约担保</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承包人是否提供履约担保：</w:t>
      </w:r>
      <w:r>
        <w:rPr>
          <w:rStyle w:val="14"/>
          <w:rFonts w:hint="eastAsia" w:ascii="宋体" w:hAnsi="宋体" w:cs="宋体"/>
          <w:color w:val="000000"/>
          <w:sz w:val="24"/>
          <w:szCs w:val="24"/>
          <w:u w:val="single"/>
        </w:rPr>
        <w:t>是</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承包人提供履约担保的形式、金额及期限的：</w:t>
      </w:r>
      <w:r>
        <w:rPr>
          <w:rStyle w:val="14"/>
          <w:rFonts w:hint="eastAsia" w:ascii="宋体" w:hAnsi="宋体" w:cs="宋体"/>
          <w:color w:val="000000"/>
          <w:sz w:val="24"/>
          <w:szCs w:val="24"/>
          <w:u w:val="single"/>
        </w:rPr>
        <w:t>金额为成交价的6%</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承包人提供成交差额担保，方式为：</w:t>
      </w:r>
      <w:r>
        <w:rPr>
          <w:rStyle w:val="14"/>
          <w:rFonts w:hint="eastAsia" w:ascii="宋体" w:hAnsi="宋体" w:cs="宋体"/>
          <w:color w:val="000000"/>
          <w:sz w:val="24"/>
          <w:szCs w:val="24"/>
          <w:u w:val="single"/>
        </w:rPr>
        <w:t>无</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发包人向承包人退付履约保证金的方式和时间：</w:t>
      </w:r>
      <w:r>
        <w:rPr>
          <w:rStyle w:val="14"/>
          <w:rFonts w:hint="eastAsia" w:ascii="宋体" w:hAnsi="宋体" w:cs="宋体"/>
          <w:color w:val="000000"/>
          <w:sz w:val="24"/>
          <w:szCs w:val="24"/>
          <w:u w:val="single"/>
        </w:rPr>
        <w:t>发包人在扣除违约金及其它按合同约定应由承包人支付的各项费用后</w:t>
      </w:r>
      <w:r>
        <w:rPr>
          <w:rStyle w:val="14"/>
          <w:rFonts w:hint="eastAsia" w:ascii="宋体" w:hAnsi="宋体" w:cs="宋体"/>
          <w:color w:val="000000"/>
          <w:sz w:val="24"/>
          <w:szCs w:val="24"/>
          <w:highlight w:val="none"/>
          <w:u w:val="single"/>
        </w:rPr>
        <w:t>，于</w:t>
      </w:r>
      <w:r>
        <w:rPr>
          <w:rStyle w:val="14"/>
          <w:rFonts w:hint="eastAsia" w:ascii="宋体" w:hAnsi="宋体" w:cs="宋体"/>
          <w:color w:val="000000"/>
          <w:sz w:val="24"/>
          <w:szCs w:val="24"/>
          <w:highlight w:val="none"/>
          <w:u w:val="single"/>
          <w:lang w:val="en-US" w:eastAsia="zh-CN"/>
        </w:rPr>
        <w:t>竣工验收后</w:t>
      </w:r>
      <w:r>
        <w:rPr>
          <w:rStyle w:val="14"/>
          <w:rFonts w:hint="eastAsia" w:ascii="宋体" w:hAnsi="宋体" w:cs="宋体"/>
          <w:color w:val="000000"/>
          <w:sz w:val="24"/>
          <w:szCs w:val="24"/>
          <w:highlight w:val="none"/>
          <w:u w:val="single"/>
        </w:rPr>
        <w:t>无息退还。</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发包人向承包人退付成交差额保证金的方式和时间：</w:t>
      </w:r>
      <w:r>
        <w:rPr>
          <w:rStyle w:val="14"/>
          <w:rFonts w:hint="eastAsia" w:ascii="宋体" w:hAnsi="宋体" w:cs="宋体"/>
          <w:color w:val="000000"/>
          <w:sz w:val="24"/>
          <w:szCs w:val="24"/>
          <w:u w:val="single"/>
        </w:rPr>
        <w:t>无</w:t>
      </w:r>
    </w:p>
    <w:p>
      <w:pPr>
        <w:pStyle w:val="20"/>
        <w:keepNext/>
        <w:keepLines/>
        <w:bidi w:val="0"/>
        <w:spacing w:line="500" w:lineRule="exact"/>
        <w:outlineLvl w:val="3"/>
        <w:rPr>
          <w:rStyle w:val="14"/>
          <w:rFonts w:ascii="宋体" w:hAnsi="宋体" w:cs="宋体"/>
          <w:b/>
          <w:bCs/>
          <w:color w:val="000000"/>
          <w:sz w:val="24"/>
          <w:szCs w:val="24"/>
        </w:rPr>
      </w:pPr>
      <w:bookmarkStart w:id="196" w:name="_Toc351203636"/>
      <w:r>
        <w:rPr>
          <w:rStyle w:val="14"/>
          <w:rFonts w:hint="eastAsia" w:ascii="宋体" w:hAnsi="宋体" w:cs="宋体"/>
          <w:b/>
          <w:bCs/>
          <w:color w:val="000000"/>
          <w:sz w:val="24"/>
          <w:szCs w:val="24"/>
        </w:rPr>
        <w:t>4</w:t>
      </w:r>
      <w:bookmarkStart w:id="197" w:name="_Toc297048348"/>
      <w:bookmarkStart w:id="198" w:name="_Toc296503162"/>
      <w:bookmarkStart w:id="199" w:name="_Toc296891202"/>
      <w:bookmarkStart w:id="200" w:name="_Toc296890990"/>
      <w:bookmarkStart w:id="201" w:name="_Toc267251413"/>
      <w:bookmarkStart w:id="202" w:name="_Toc296346663"/>
      <w:bookmarkStart w:id="203" w:name="_Toc292559871"/>
      <w:bookmarkStart w:id="204" w:name="_Toc296944501"/>
      <w:bookmarkStart w:id="205" w:name="_Toc297120462"/>
      <w:bookmarkStart w:id="206" w:name="_Toc296347161"/>
      <w:bookmarkStart w:id="207" w:name="_Toc292559366"/>
      <w:r>
        <w:rPr>
          <w:rStyle w:val="14"/>
          <w:rFonts w:hint="eastAsia" w:ascii="宋体" w:hAnsi="宋体" w:cs="宋体"/>
          <w:b/>
          <w:bCs/>
          <w:color w:val="000000"/>
          <w:sz w:val="24"/>
          <w:szCs w:val="24"/>
        </w:rPr>
        <w:t>. 监</w:t>
      </w:r>
      <w:bookmarkEnd w:id="197"/>
      <w:bookmarkEnd w:id="198"/>
      <w:bookmarkEnd w:id="199"/>
      <w:bookmarkEnd w:id="200"/>
      <w:bookmarkEnd w:id="201"/>
      <w:bookmarkEnd w:id="202"/>
      <w:bookmarkEnd w:id="203"/>
      <w:bookmarkEnd w:id="204"/>
      <w:bookmarkEnd w:id="205"/>
      <w:bookmarkEnd w:id="206"/>
      <w:bookmarkEnd w:id="207"/>
      <w:r>
        <w:rPr>
          <w:rStyle w:val="14"/>
          <w:rFonts w:hint="eastAsia" w:ascii="宋体" w:hAnsi="宋体" w:cs="宋体"/>
          <w:b/>
          <w:bCs/>
          <w:color w:val="000000"/>
          <w:sz w:val="24"/>
          <w:szCs w:val="24"/>
        </w:rPr>
        <w:t>理人</w:t>
      </w:r>
      <w:bookmarkEnd w:id="196"/>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4.1监理人的一般规定</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关于监理人的监理内容：</w:t>
      </w:r>
      <w:r>
        <w:rPr>
          <w:rStyle w:val="14"/>
          <w:rFonts w:hint="eastAsia" w:ascii="宋体" w:hAnsi="宋体" w:cs="宋体"/>
          <w:color w:val="000000"/>
          <w:sz w:val="24"/>
          <w:szCs w:val="24"/>
          <w:u w:val="single"/>
        </w:rPr>
        <w:t>见监理合同</w:t>
      </w:r>
      <w:r>
        <w:rPr>
          <w:rStyle w:val="14"/>
          <w:rFonts w:ascii="宋体" w:hAnsi="宋体" w:cs="宋体"/>
          <w:color w:val="000000"/>
          <w:sz w:val="24"/>
          <w:szCs w:val="24"/>
          <w:u w:val="single"/>
        </w:rPr>
        <w:t>（</w:t>
      </w:r>
      <w:r>
        <w:rPr>
          <w:rStyle w:val="14"/>
          <w:rFonts w:hint="eastAsia" w:ascii="宋体" w:hAnsi="宋体" w:cs="宋体"/>
          <w:color w:val="000000"/>
          <w:sz w:val="24"/>
          <w:szCs w:val="24"/>
          <w:u w:val="single"/>
        </w:rPr>
        <w:t>如有</w:t>
      </w:r>
      <w:r>
        <w:rPr>
          <w:rStyle w:val="14"/>
          <w:rFonts w:ascii="宋体" w:hAnsi="宋体" w:cs="宋体"/>
          <w:color w:val="000000"/>
          <w:sz w:val="24"/>
          <w:szCs w:val="24"/>
          <w:u w:val="single"/>
        </w:rPr>
        <w:t>）</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关于监理人的监理权限：</w:t>
      </w:r>
      <w:r>
        <w:rPr>
          <w:rStyle w:val="14"/>
          <w:rFonts w:hint="eastAsia" w:ascii="宋体" w:hAnsi="宋体" w:cs="宋体"/>
          <w:color w:val="000000"/>
          <w:sz w:val="24"/>
          <w:szCs w:val="24"/>
          <w:u w:val="single"/>
        </w:rPr>
        <w:t xml:space="preserve">工程质量的监督权；工程上使用的材料和施工质量方面配合发包人检验权、确认权；工程施工进度、安全的检查、监督权；工程款支付的审核权；向承包人提出施工组织设计和技术方案的建议权；工程建设有关协作单位组织协调的主持权；撤换不合格的工程建设分包单位和注册建造师及有关人员的建议权；分包单位资质及能力的审查权；等等。 </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关于监理人在施工现场的办公场所、生活场所的提供和费用承担的约定：</w:t>
      </w:r>
      <w:r>
        <w:rPr>
          <w:rStyle w:val="14"/>
          <w:rFonts w:hint="eastAsia" w:ascii="宋体" w:hAnsi="宋体" w:cs="宋体"/>
          <w:color w:val="000000"/>
          <w:sz w:val="24"/>
          <w:szCs w:val="24"/>
          <w:u w:val="single"/>
        </w:rPr>
        <w:t>详见监理合同</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4.2 监理人员</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总监理工程师：</w:t>
      </w:r>
      <w:r>
        <w:rPr>
          <w:rStyle w:val="14"/>
          <w:rFonts w:hint="eastAsia" w:ascii="宋体" w:hAnsi="宋体" w:cs="宋体"/>
          <w:color w:val="000000"/>
          <w:sz w:val="24"/>
          <w:szCs w:val="24"/>
          <w:u w:val="single"/>
        </w:rPr>
        <w:t xml:space="preserve">                </w:t>
      </w:r>
    </w:p>
    <w:p>
      <w:pPr>
        <w:pStyle w:val="20"/>
        <w:keepNext/>
        <w:keepLines/>
        <w:bidi w:val="0"/>
        <w:spacing w:line="500" w:lineRule="exact"/>
        <w:ind w:firstLine="480" w:firstLineChars="200"/>
        <w:outlineLvl w:val="4"/>
        <w:rPr>
          <w:rStyle w:val="14"/>
          <w:rFonts w:ascii="宋体" w:hAnsi="宋体" w:cs="宋体"/>
          <w:color w:val="000000"/>
          <w:sz w:val="24"/>
          <w:szCs w:val="24"/>
          <w:u w:val="single"/>
        </w:rPr>
      </w:pPr>
      <w:r>
        <w:rPr>
          <w:rStyle w:val="14"/>
          <w:rFonts w:hint="eastAsia" w:ascii="宋体" w:hAnsi="宋体" w:cs="宋体"/>
          <w:color w:val="000000"/>
          <w:sz w:val="24"/>
          <w:szCs w:val="24"/>
        </w:rPr>
        <w:t>姓名：</w:t>
      </w:r>
      <w:r>
        <w:rPr>
          <w:rStyle w:val="14"/>
          <w:rFonts w:hint="eastAsia" w:ascii="宋体" w:hAnsi="宋体" w:cs="宋体"/>
          <w:color w:val="000000"/>
          <w:sz w:val="24"/>
          <w:szCs w:val="24"/>
          <w:u w:val="single"/>
        </w:rPr>
        <w:t xml:space="preserve">                        </w:t>
      </w:r>
    </w:p>
    <w:p>
      <w:pPr>
        <w:pStyle w:val="20"/>
        <w:keepNext/>
        <w:keepLines/>
        <w:bidi w:val="0"/>
        <w:spacing w:line="500" w:lineRule="exact"/>
        <w:ind w:firstLine="480" w:firstLineChars="200"/>
        <w:outlineLvl w:val="4"/>
        <w:rPr>
          <w:rStyle w:val="14"/>
          <w:rFonts w:ascii="宋体" w:hAnsi="宋体" w:cs="宋体"/>
          <w:color w:val="000000"/>
          <w:sz w:val="24"/>
          <w:szCs w:val="24"/>
          <w:u w:val="single"/>
        </w:rPr>
      </w:pPr>
      <w:r>
        <w:rPr>
          <w:rStyle w:val="14"/>
          <w:rFonts w:hint="eastAsia" w:ascii="宋体" w:hAnsi="宋体" w:cs="宋体"/>
          <w:color w:val="000000"/>
          <w:sz w:val="24"/>
          <w:szCs w:val="24"/>
        </w:rPr>
        <w:t>职务：</w:t>
      </w:r>
      <w:r>
        <w:rPr>
          <w:rStyle w:val="14"/>
          <w:rFonts w:hint="eastAsia" w:ascii="宋体" w:hAnsi="宋体" w:cs="宋体"/>
          <w:color w:val="000000"/>
          <w:sz w:val="24"/>
          <w:szCs w:val="24"/>
          <w:u w:val="single"/>
        </w:rPr>
        <w:t xml:space="preserve">                        </w:t>
      </w:r>
    </w:p>
    <w:p>
      <w:pPr>
        <w:pStyle w:val="20"/>
        <w:keepNext/>
        <w:keepLines/>
        <w:bidi w:val="0"/>
        <w:spacing w:line="500" w:lineRule="exact"/>
        <w:ind w:firstLine="480" w:firstLineChars="200"/>
        <w:outlineLvl w:val="4"/>
        <w:rPr>
          <w:rStyle w:val="14"/>
          <w:rFonts w:ascii="宋体" w:hAnsi="宋体" w:cs="宋体"/>
          <w:color w:val="000000"/>
          <w:sz w:val="24"/>
          <w:szCs w:val="24"/>
          <w:u w:val="single"/>
        </w:rPr>
      </w:pPr>
      <w:r>
        <w:rPr>
          <w:rStyle w:val="14"/>
          <w:rFonts w:hint="eastAsia" w:ascii="宋体" w:hAnsi="宋体" w:cs="宋体"/>
          <w:color w:val="000000"/>
          <w:sz w:val="24"/>
          <w:szCs w:val="24"/>
        </w:rPr>
        <w:t>职业资格证号：</w:t>
      </w:r>
      <w:r>
        <w:rPr>
          <w:rStyle w:val="14"/>
          <w:rFonts w:hint="eastAsia" w:ascii="宋体" w:hAnsi="宋体" w:cs="宋体"/>
          <w:color w:val="000000"/>
          <w:sz w:val="24"/>
          <w:szCs w:val="24"/>
          <w:u w:val="single"/>
        </w:rPr>
        <w:t xml:space="preserve">                 </w:t>
      </w:r>
    </w:p>
    <w:p>
      <w:pPr>
        <w:pStyle w:val="20"/>
        <w:keepNext/>
        <w:keepLines/>
        <w:bidi w:val="0"/>
        <w:spacing w:line="500" w:lineRule="exact"/>
        <w:ind w:firstLine="480" w:firstLineChars="200"/>
        <w:outlineLvl w:val="4"/>
        <w:rPr>
          <w:rStyle w:val="14"/>
          <w:rFonts w:ascii="宋体" w:hAnsi="宋体" w:cs="宋体"/>
          <w:color w:val="000000"/>
          <w:sz w:val="24"/>
          <w:szCs w:val="24"/>
          <w:u w:val="single"/>
        </w:rPr>
      </w:pPr>
      <w:r>
        <w:rPr>
          <w:rStyle w:val="14"/>
          <w:rFonts w:hint="eastAsia" w:ascii="宋体" w:hAnsi="宋体" w:cs="宋体"/>
          <w:color w:val="000000"/>
          <w:sz w:val="24"/>
          <w:szCs w:val="24"/>
        </w:rPr>
        <w:t>联系电话：</w:t>
      </w:r>
      <w:r>
        <w:rPr>
          <w:rStyle w:val="14"/>
          <w:rFonts w:hint="eastAsia" w:ascii="宋体" w:hAnsi="宋体" w:cs="宋体"/>
          <w:color w:val="000000"/>
          <w:sz w:val="24"/>
          <w:szCs w:val="24"/>
          <w:u w:val="single"/>
        </w:rPr>
        <w:t xml:space="preserve">                    </w:t>
      </w:r>
    </w:p>
    <w:p>
      <w:pPr>
        <w:pStyle w:val="20"/>
        <w:keepNext/>
        <w:keepLines/>
        <w:bidi w:val="0"/>
        <w:spacing w:line="500" w:lineRule="exact"/>
        <w:ind w:firstLine="480" w:firstLineChars="200"/>
        <w:outlineLvl w:val="4"/>
        <w:rPr>
          <w:rStyle w:val="14"/>
          <w:rFonts w:ascii="宋体" w:hAnsi="宋体" w:cs="宋体"/>
          <w:color w:val="000000"/>
          <w:sz w:val="24"/>
          <w:szCs w:val="24"/>
          <w:u w:val="single"/>
        </w:rPr>
      </w:pPr>
      <w:r>
        <w:rPr>
          <w:rStyle w:val="14"/>
          <w:rFonts w:hint="eastAsia" w:ascii="宋体" w:hAnsi="宋体" w:cs="宋体"/>
          <w:color w:val="000000"/>
          <w:sz w:val="24"/>
          <w:szCs w:val="24"/>
        </w:rPr>
        <w:t xml:space="preserve">电子邮箱： </w:t>
      </w:r>
      <w:r>
        <w:rPr>
          <w:rStyle w:val="14"/>
          <w:rFonts w:hint="eastAsia" w:ascii="宋体" w:hAnsi="宋体" w:cs="宋体"/>
          <w:color w:val="000000"/>
          <w:sz w:val="24"/>
          <w:szCs w:val="24"/>
          <w:u w:val="single"/>
        </w:rPr>
        <w:t xml:space="preserve">                    </w:t>
      </w:r>
    </w:p>
    <w:p>
      <w:pPr>
        <w:pStyle w:val="20"/>
        <w:keepNext/>
        <w:keepLines/>
        <w:bidi w:val="0"/>
        <w:spacing w:line="500" w:lineRule="exact"/>
        <w:ind w:firstLine="480" w:firstLineChars="200"/>
        <w:outlineLvl w:val="4"/>
        <w:rPr>
          <w:rStyle w:val="14"/>
          <w:rFonts w:ascii="宋体" w:hAnsi="宋体" w:cs="宋体"/>
          <w:bCs/>
          <w:color w:val="000000"/>
          <w:sz w:val="24"/>
          <w:szCs w:val="24"/>
          <w:u w:val="single"/>
        </w:rPr>
      </w:pPr>
      <w:r>
        <w:rPr>
          <w:rStyle w:val="14"/>
          <w:rFonts w:hint="eastAsia" w:ascii="宋体" w:hAnsi="宋体" w:cs="宋体"/>
          <w:color w:val="000000"/>
          <w:sz w:val="24"/>
          <w:szCs w:val="24"/>
        </w:rPr>
        <w:t>通信地址：</w:t>
      </w:r>
      <w:r>
        <w:rPr>
          <w:rStyle w:val="14"/>
          <w:rFonts w:hint="eastAsia" w:ascii="宋体" w:hAnsi="宋体" w:cs="宋体"/>
          <w:color w:val="000000"/>
          <w:sz w:val="24"/>
          <w:szCs w:val="24"/>
          <w:u w:val="single"/>
        </w:rPr>
        <w:t xml:space="preserve">                     </w:t>
      </w:r>
    </w:p>
    <w:p>
      <w:pPr>
        <w:pStyle w:val="20"/>
        <w:bidi w:val="0"/>
        <w:spacing w:line="500" w:lineRule="exact"/>
        <w:ind w:firstLine="480" w:firstLineChars="200"/>
        <w:rPr>
          <w:rStyle w:val="14"/>
          <w:rFonts w:ascii="宋体" w:hAnsi="宋体" w:cs="宋体"/>
          <w:color w:val="000000"/>
          <w:sz w:val="24"/>
          <w:szCs w:val="24"/>
        </w:rPr>
      </w:pPr>
      <w:bookmarkStart w:id="208" w:name="_Toc267251418"/>
      <w:bookmarkStart w:id="209" w:name="_Toc351203637"/>
      <w:r>
        <w:rPr>
          <w:rStyle w:val="14"/>
          <w:rFonts w:hint="eastAsia" w:ascii="宋体" w:hAnsi="宋体" w:cs="宋体"/>
          <w:color w:val="000000"/>
          <w:sz w:val="24"/>
          <w:szCs w:val="24"/>
        </w:rPr>
        <w:t>无发包人授权，监理单位作出的关于工程量、工程价款、工期方面的任何证明、决定、签证等都无效。</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需取得发包人批准才能行使以下职权：</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 xml:space="preserve">（1）工程变更的确认权； </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（2）签证权；</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（3）发布开工令、停工令、复工令权。</w:t>
      </w:r>
    </w:p>
    <w:p>
      <w:pPr>
        <w:pStyle w:val="20"/>
        <w:keepNext/>
        <w:keepLines/>
        <w:bidi w:val="0"/>
        <w:spacing w:line="500" w:lineRule="exact"/>
        <w:outlineLvl w:val="3"/>
        <w:rPr>
          <w:rStyle w:val="14"/>
          <w:rFonts w:ascii="宋体" w:hAnsi="宋体" w:cs="宋体"/>
          <w:b/>
          <w:bCs/>
          <w:color w:val="000000"/>
          <w:sz w:val="24"/>
          <w:szCs w:val="24"/>
        </w:rPr>
      </w:pPr>
      <w:r>
        <w:rPr>
          <w:rStyle w:val="14"/>
          <w:rFonts w:hint="eastAsia" w:ascii="宋体" w:hAnsi="宋体" w:cs="宋体"/>
          <w:b/>
          <w:bCs/>
          <w:color w:val="000000"/>
          <w:sz w:val="24"/>
          <w:szCs w:val="24"/>
        </w:rPr>
        <w:t>5</w:t>
      </w:r>
      <w:bookmarkEnd w:id="208"/>
      <w:bookmarkStart w:id="210" w:name="_Toc296346664"/>
      <w:bookmarkStart w:id="211" w:name="_Toc292559872"/>
      <w:bookmarkStart w:id="212" w:name="_Toc296890991"/>
      <w:bookmarkStart w:id="213" w:name="_Toc296944502"/>
      <w:bookmarkStart w:id="214" w:name="_Toc297048349"/>
      <w:bookmarkStart w:id="215" w:name="_Toc297120463"/>
      <w:bookmarkStart w:id="216" w:name="_Toc296503163"/>
      <w:bookmarkStart w:id="217" w:name="_Toc296347162"/>
      <w:bookmarkStart w:id="218" w:name="_Toc292559367"/>
      <w:bookmarkStart w:id="219" w:name="_Toc296891203"/>
      <w:r>
        <w:rPr>
          <w:rStyle w:val="14"/>
          <w:rFonts w:hint="eastAsia" w:ascii="宋体" w:hAnsi="宋体" w:cs="宋体"/>
          <w:b/>
          <w:bCs/>
          <w:color w:val="000000"/>
          <w:sz w:val="24"/>
          <w:szCs w:val="24"/>
        </w:rPr>
        <w:t>. 工程质量</w:t>
      </w:r>
      <w:bookmarkEnd w:id="209"/>
    </w:p>
    <w:p>
      <w:pPr>
        <w:pStyle w:val="20"/>
        <w:bidi w:val="0"/>
        <w:spacing w:line="500" w:lineRule="exact"/>
        <w:ind w:firstLine="480" w:firstLineChars="200"/>
        <w:outlineLvl w:val="0"/>
        <w:rPr>
          <w:rStyle w:val="14"/>
          <w:rFonts w:ascii="宋体" w:hAnsi="宋体" w:cs="宋体"/>
          <w:color w:val="000000"/>
          <w:sz w:val="24"/>
          <w:szCs w:val="24"/>
        </w:rPr>
      </w:pPr>
      <w:bookmarkStart w:id="220" w:name="_Toc5799272"/>
      <w:bookmarkStart w:id="221" w:name="_Toc256000077"/>
      <w:bookmarkStart w:id="222" w:name="_Toc256000126"/>
      <w:bookmarkStart w:id="223" w:name="_Toc14216"/>
      <w:bookmarkStart w:id="224" w:name="_Toc297216155"/>
      <w:bookmarkStart w:id="225" w:name="_Toc300934949"/>
      <w:bookmarkStart w:id="226" w:name="_Toc297123496"/>
      <w:bookmarkStart w:id="227" w:name="_Toc304295527"/>
      <w:bookmarkStart w:id="228" w:name="_Toc312677997"/>
      <w:bookmarkStart w:id="229" w:name="_Toc303539106"/>
      <w:bookmarkStart w:id="230" w:name="_Toc318581164"/>
      <w:r>
        <w:rPr>
          <w:rStyle w:val="14"/>
          <w:rFonts w:hint="eastAsia" w:ascii="宋体" w:hAnsi="宋体" w:cs="宋体"/>
          <w:color w:val="000000"/>
          <w:sz w:val="24"/>
          <w:szCs w:val="24"/>
        </w:rPr>
        <w:t>5.1 质量要求</w:t>
      </w:r>
      <w:bookmarkEnd w:id="220"/>
      <w:bookmarkEnd w:id="221"/>
      <w:bookmarkEnd w:id="222"/>
      <w:bookmarkEnd w:id="223"/>
    </w:p>
    <w:p>
      <w:pPr>
        <w:pStyle w:val="20"/>
        <w:bidi w:val="0"/>
        <w:spacing w:line="500" w:lineRule="exact"/>
        <w:ind w:firstLine="480" w:firstLineChars="200"/>
        <w:rPr>
          <w:rStyle w:val="14"/>
          <w:rFonts w:ascii="宋体" w:hAnsi="宋体" w:cs="宋体"/>
          <w:color w:val="000000"/>
          <w:sz w:val="24"/>
          <w:szCs w:val="24"/>
        </w:rPr>
      </w:pPr>
      <w:r>
        <w:rPr>
          <w:rStyle w:val="14"/>
          <w:rFonts w:ascii="宋体" w:hAnsi="宋体" w:cs="宋体"/>
          <w:color w:val="000000"/>
          <w:sz w:val="24"/>
          <w:szCs w:val="24"/>
        </w:rPr>
        <w:t>5.1.1 特殊质量标准和要求：</w:t>
      </w:r>
      <w:r>
        <w:rPr>
          <w:rStyle w:val="14"/>
          <w:rFonts w:hint="eastAsia" w:ascii="宋体" w:hAnsi="宋体" w:cs="宋体"/>
          <w:color w:val="000000"/>
          <w:sz w:val="24"/>
          <w:szCs w:val="24"/>
        </w:rPr>
        <w:t xml:space="preserve"> </w:t>
      </w:r>
      <w:r>
        <w:rPr>
          <w:rStyle w:val="14"/>
          <w:rFonts w:ascii="宋体" w:hAnsi="宋体" w:cs="宋体"/>
          <w:color w:val="000000"/>
          <w:sz w:val="24"/>
          <w:szCs w:val="24"/>
        </w:rPr>
        <w:t>1</w:t>
      </w:r>
      <w:r>
        <w:rPr>
          <w:rStyle w:val="14"/>
          <w:rFonts w:hint="eastAsia" w:ascii="宋体" w:hAnsi="宋体" w:cs="宋体"/>
          <w:color w:val="000000"/>
          <w:sz w:val="24"/>
          <w:szCs w:val="24"/>
        </w:rPr>
        <w:t>、符合现行国家有关验收标准，并达到招标要求的质量等级标准。</w:t>
      </w:r>
      <w:r>
        <w:rPr>
          <w:rStyle w:val="14"/>
          <w:rFonts w:ascii="宋体" w:hAnsi="宋体" w:cs="宋体"/>
          <w:color w:val="000000"/>
          <w:sz w:val="24"/>
          <w:szCs w:val="24"/>
        </w:rPr>
        <w:t>2</w:t>
      </w:r>
      <w:r>
        <w:rPr>
          <w:rStyle w:val="14"/>
          <w:rFonts w:hint="eastAsia" w:ascii="宋体" w:hAnsi="宋体" w:cs="宋体"/>
          <w:color w:val="000000"/>
          <w:sz w:val="24"/>
          <w:szCs w:val="24"/>
        </w:rPr>
        <w:t>、材料质量要求：符合国际现行的产品标准规定，并附有出厂合格证明，严禁使用不合格和过期材料和附件。无论总监理工程师是否进行并通过了各项检验，均不减免承包人对自己承包的工程的质量所负责任，除非质量问题是由于设计原因引起，而此类质量问题承包人须及时通知总监</w:t>
      </w:r>
      <w:r>
        <w:rPr>
          <w:rStyle w:val="14"/>
          <w:rFonts w:ascii="宋体" w:hAnsi="宋体" w:cs="宋体"/>
          <w:color w:val="000000"/>
          <w:sz w:val="24"/>
          <w:szCs w:val="24"/>
        </w:rPr>
        <w:t>，</w:t>
      </w:r>
      <w:r>
        <w:rPr>
          <w:rStyle w:val="14"/>
          <w:rFonts w:hint="eastAsia" w:ascii="宋体" w:hAnsi="宋体" w:cs="宋体"/>
          <w:color w:val="000000"/>
          <w:sz w:val="24"/>
          <w:szCs w:val="24"/>
        </w:rPr>
        <w:t>但在采用承包人设计的施工图纸施工时，设计引起的质量责任由承包人承担。无论工程材料是由承包人自行供应或是由发包人指定的供应商供应，均不解除承包人所负的工程全面质量的责任，承包人应该对各种材料按规范进行检查，拒绝不符合要求的材料用于工程。由于承包人的原因，出现不合格材料用于工程的情况，由承包人承担应有的责任。</w:t>
      </w:r>
      <w:r>
        <w:rPr>
          <w:rStyle w:val="14"/>
          <w:rFonts w:ascii="宋体" w:hAnsi="宋体" w:cs="宋体"/>
          <w:color w:val="000000"/>
          <w:sz w:val="24"/>
          <w:szCs w:val="24"/>
        </w:rPr>
        <w:t xml:space="preserve"> 3</w:t>
      </w:r>
      <w:r>
        <w:rPr>
          <w:rStyle w:val="14"/>
          <w:rFonts w:hint="eastAsia" w:ascii="宋体" w:hAnsi="宋体" w:cs="宋体"/>
          <w:color w:val="000000"/>
          <w:sz w:val="24"/>
          <w:szCs w:val="24"/>
        </w:rPr>
        <w:t>、竞争性磋商文件和有关规范规定的各种材料检验、消防检测、桩基检测、工艺试验、实体检测、能耗监测、沉降观测等必须按规定实施，由承包人提供法定检测机构出具的试验合格证书，所需费用包含在合同价中，发包人不另外支付。</w:t>
      </w:r>
    </w:p>
    <w:p>
      <w:pPr>
        <w:pStyle w:val="20"/>
        <w:bidi w:val="0"/>
        <w:spacing w:line="500" w:lineRule="exact"/>
        <w:ind w:firstLine="480" w:firstLineChars="200"/>
        <w:jc w:val="left"/>
        <w:rPr>
          <w:rStyle w:val="14"/>
          <w:rFonts w:ascii="宋体" w:hAnsi="宋体" w:cs="宋体"/>
          <w:color w:val="000000"/>
          <w:sz w:val="24"/>
          <w:szCs w:val="24"/>
          <w:u w:val="single"/>
        </w:rPr>
      </w:pPr>
      <w:r>
        <w:rPr>
          <w:rStyle w:val="14"/>
          <w:rFonts w:hint="eastAsia" w:ascii="宋体" w:hAnsi="宋体" w:cs="宋体"/>
          <w:color w:val="000000"/>
          <w:sz w:val="24"/>
          <w:szCs w:val="24"/>
        </w:rPr>
        <w:t>关于工程奖项的约定：</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outlineLvl w:val="0"/>
        <w:rPr>
          <w:rStyle w:val="14"/>
          <w:rFonts w:ascii="宋体" w:hAnsi="宋体" w:cs="宋体"/>
          <w:color w:val="000000"/>
          <w:sz w:val="24"/>
          <w:szCs w:val="24"/>
        </w:rPr>
      </w:pPr>
      <w:bookmarkStart w:id="231" w:name="_Toc18507"/>
      <w:bookmarkStart w:id="232" w:name="_Toc5799273"/>
      <w:bookmarkStart w:id="233" w:name="_Toc256000127"/>
      <w:bookmarkStart w:id="234" w:name="_Toc256000078"/>
      <w:r>
        <w:rPr>
          <w:rStyle w:val="14"/>
          <w:rFonts w:hint="eastAsia" w:ascii="宋体" w:hAnsi="宋体" w:cs="宋体"/>
          <w:color w:val="000000"/>
          <w:sz w:val="24"/>
          <w:szCs w:val="24"/>
        </w:rPr>
        <w:t>5.2 隐蔽工程检查</w:t>
      </w:r>
      <w:bookmarkEnd w:id="231"/>
      <w:bookmarkEnd w:id="232"/>
      <w:bookmarkEnd w:id="233"/>
      <w:bookmarkEnd w:id="234"/>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5.2.1承包人提前通知监理人隐蔽工程检查的期限的约定：</w:t>
      </w:r>
      <w:r>
        <w:rPr>
          <w:rStyle w:val="14"/>
          <w:rFonts w:hint="eastAsia" w:ascii="宋体" w:hAnsi="宋体" w:cs="宋体"/>
          <w:color w:val="000000"/>
          <w:sz w:val="24"/>
          <w:szCs w:val="24"/>
          <w:u w:val="single"/>
        </w:rPr>
        <w:t>执行通用条款</w:t>
      </w:r>
      <w:r>
        <w:rPr>
          <w:rStyle w:val="14"/>
          <w:rFonts w:hint="eastAsia" w:ascii="宋体" w:hAnsi="宋体" w:cs="宋体"/>
          <w:color w:val="000000"/>
          <w:sz w:val="24"/>
          <w:szCs w:val="24"/>
        </w:rPr>
        <w:t>。</w:t>
      </w:r>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监理人不能按时进行检查时，应提前</w:t>
      </w:r>
      <w:r>
        <w:rPr>
          <w:rStyle w:val="14"/>
          <w:rFonts w:hint="eastAsia" w:ascii="宋体" w:hAnsi="宋体" w:cs="宋体"/>
          <w:color w:val="000000"/>
          <w:sz w:val="24"/>
          <w:szCs w:val="24"/>
          <w:u w:val="single"/>
        </w:rPr>
        <w:t xml:space="preserve">   24    </w:t>
      </w:r>
      <w:r>
        <w:rPr>
          <w:rStyle w:val="14"/>
          <w:rFonts w:hint="eastAsia" w:ascii="宋体" w:hAnsi="宋体" w:cs="宋体"/>
          <w:color w:val="000000"/>
          <w:sz w:val="24"/>
          <w:szCs w:val="24"/>
        </w:rPr>
        <w:t>小时提交书面延期要求。</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关于延期最长不得超过：</w:t>
      </w:r>
      <w:r>
        <w:rPr>
          <w:rStyle w:val="14"/>
          <w:rFonts w:hint="eastAsia" w:ascii="宋体" w:hAnsi="宋体" w:cs="宋体"/>
          <w:color w:val="000000"/>
          <w:sz w:val="24"/>
          <w:szCs w:val="24"/>
          <w:u w:val="single"/>
        </w:rPr>
        <w:t xml:space="preserve">   48   </w:t>
      </w:r>
      <w:r>
        <w:rPr>
          <w:rStyle w:val="14"/>
          <w:rFonts w:hint="eastAsia" w:ascii="宋体" w:hAnsi="宋体" w:cs="宋体"/>
          <w:color w:val="000000"/>
          <w:sz w:val="24"/>
          <w:szCs w:val="24"/>
        </w:rPr>
        <w:t>小时。</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5.3 隐蔽工程检查</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5.3.1承包人提前通知监理人隐蔽工程检查的期限的约定：</w:t>
      </w:r>
      <w:r>
        <w:rPr>
          <w:rStyle w:val="14"/>
          <w:rFonts w:hint="eastAsia" w:ascii="宋体" w:hAnsi="宋体" w:cs="宋体"/>
          <w:color w:val="000000"/>
          <w:sz w:val="24"/>
          <w:szCs w:val="24"/>
          <w:u w:val="single"/>
        </w:rPr>
        <w:t>当工程具备隐蔽条件或达到中间验收时，承包人自检合格后，在隐蔽和中间验收48小时前书面通知发包人代表和监理工程师以及设计方参加。通知应包含承包人自检记录、隐蔽和中间验收的内容、部位、时间和地点。承包人准备验收记录，验收合格，发包人代表及监理工程师以及设计方在验收记录上签字后，方可进行隐蔽和继续施工。如果承包人不通知发包人代表和监理工程师参加验收而自行隐蔽，发包人代表和监理工程师有权要求承包人进行剥离或开孔，且不论最终验收结果如何，发包人均不承担损失和顺延工期。验收不合格，承包人在限定时间内重新检验，承包人承担因此发生的全部费用，工期不予顺延。承包人不服从质量管理的，发包人有权清退其出场，承包人并赔偿因此而造成的一切损失。</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监理人不能按时进行检查时，应提前</w:t>
      </w:r>
      <w:r>
        <w:rPr>
          <w:rStyle w:val="14"/>
          <w:rFonts w:hint="eastAsia" w:ascii="宋体" w:hAnsi="宋体" w:cs="宋体"/>
          <w:color w:val="000000"/>
          <w:sz w:val="24"/>
          <w:szCs w:val="24"/>
          <w:u w:val="single"/>
        </w:rPr>
        <w:t xml:space="preserve"> 24</w:t>
      </w:r>
      <w:r>
        <w:rPr>
          <w:rStyle w:val="14"/>
          <w:rFonts w:hint="eastAsia" w:ascii="宋体" w:hAnsi="宋体" w:cs="宋体"/>
          <w:color w:val="000000"/>
          <w:sz w:val="24"/>
          <w:szCs w:val="24"/>
        </w:rPr>
        <w:t>小时提交书面延期要求。</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关于延期最长不得超过：</w:t>
      </w:r>
      <w:r>
        <w:rPr>
          <w:rStyle w:val="14"/>
          <w:rFonts w:hint="eastAsia" w:ascii="宋体" w:hAnsi="宋体" w:cs="宋体"/>
          <w:color w:val="000000"/>
          <w:sz w:val="24"/>
          <w:szCs w:val="24"/>
          <w:u w:val="single"/>
        </w:rPr>
        <w:t>48</w:t>
      </w:r>
      <w:r>
        <w:rPr>
          <w:rStyle w:val="14"/>
          <w:rFonts w:hint="eastAsia" w:ascii="宋体" w:hAnsi="宋体" w:cs="宋体"/>
          <w:color w:val="000000"/>
          <w:sz w:val="24"/>
          <w:szCs w:val="24"/>
        </w:rPr>
        <w:t>小时。</w:t>
      </w:r>
    </w:p>
    <w:p>
      <w:pPr>
        <w:pStyle w:val="20"/>
        <w:keepNext/>
        <w:keepLines/>
        <w:bidi w:val="0"/>
        <w:spacing w:line="500" w:lineRule="exact"/>
        <w:outlineLvl w:val="3"/>
        <w:rPr>
          <w:rStyle w:val="14"/>
          <w:rFonts w:ascii="宋体" w:hAnsi="宋体" w:cs="宋体"/>
          <w:b/>
          <w:bCs/>
          <w:color w:val="000000"/>
          <w:sz w:val="24"/>
          <w:szCs w:val="24"/>
        </w:rPr>
      </w:pPr>
      <w:bookmarkStart w:id="235" w:name="_Toc351203638"/>
      <w:r>
        <w:rPr>
          <w:rStyle w:val="14"/>
          <w:rFonts w:hint="eastAsia" w:ascii="宋体" w:hAnsi="宋体" w:cs="宋体"/>
          <w:b/>
          <w:bCs/>
          <w:color w:val="000000"/>
          <w:sz w:val="24"/>
          <w:szCs w:val="24"/>
        </w:rPr>
        <w:t>6. 安全文明施工与环境保护</w:t>
      </w:r>
      <w:bookmarkEnd w:id="235"/>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6.1安全文明施工</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6.1.1 项目安全生产的达标目标及相应事项的约定：</w:t>
      </w:r>
      <w:r>
        <w:rPr>
          <w:rStyle w:val="14"/>
          <w:rFonts w:hint="eastAsia" w:ascii="宋体" w:hAnsi="宋体" w:cs="宋体"/>
          <w:color w:val="000000"/>
          <w:sz w:val="24"/>
          <w:szCs w:val="24"/>
          <w:u w:val="single"/>
        </w:rPr>
        <w:t>1、进入施工现场的各类安全防护由承包人统一协调管理，安全责任由承包人承担，费用含在投标报价中；2、承包人负责进入施工现场施工人员及财物安全，发生任何伤亡事故与发包人无关，承包人自行解决；3、承包人应合理安排、安全使用水、电设施，否则引起的一切责任由承包人承担。承包人应负责保管水、电设施，若发生丢失或损坏，由承包人赔偿。4、严格执行《中华人民共和国安全生产法》、《建设工程安全生产管理条例》（国务院第393号令）等相关法律法规、双方签定的《安全施工协议》。承包人在施工现场的安全管理、安全教育和安全事故责任及所发生的费用均由承包人承担。由承包人按规范施工并对安全生产负全责，除执行通用条款的相关规定外，承包人应严格按照施工组织设计组织施工，在安全管理方面除正常进行安全学习，安全教育外，同时应高度重视全部施工期间的安全工作，安全措施要落实到位，应急措施要跟上，并配备专职安全人员，全面负责施工现场的安全及周边设施的安全和第三方人身安全，并承担所有责任及相应地赔偿费用。5、承包人承担其施工所涉及的一切人员、机械在施工现场及与施工相关的一切活动的安全责任及相应地赔偿费用。6、承包人应当遵守工程建设安全生产有关管理规定，严格按安全标准组织施工，并随时接受发包人及行业安全检查人员依法实施的监督检查，采取必要的安全防护措施，消除事故隐患，安全防护费用已含在合同价款内。承包人在施工现场的安全管理、教育和安全事故责任由承包人承担。在承包人施工范围内发生或因承包人施工活动有关的安全事故由承包人负责处理并承担责任。7、承包人应合理安全使用水、电设施，否则引起的一切责任由承包人承担。8、发包人管理机构有权对承包人项目现场质量、安全文明，材料等事项进行督查。如发现质量、安全不符合规范的，每点处罚2000元，上不封顶，若问题特别严重的，每次可处罚2万元以上4万元以下；若出现质量、安全事故的，每次处罚至合同价款的40%,并有权清退出场，同时造成本工程工期延误及相关损失由承包人负责。如发生材料不合格应立即退场并处罚20000元/次。9、承包人现场临时用房搭设、平面布置及安全文明措施应满足发包人及市级文明工地规范要求，如不能达到发包人标准，发包人有权要求第三方进行设置，费用可在未经过承包人允许前提一下，从工程款中予以扣除</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6.1.2 关于治安保卫的特别约定：</w:t>
      </w:r>
      <w:r>
        <w:rPr>
          <w:rStyle w:val="14"/>
          <w:rFonts w:hint="eastAsia" w:ascii="宋体" w:hAnsi="宋体" w:cs="宋体"/>
          <w:color w:val="000000"/>
          <w:sz w:val="24"/>
          <w:szCs w:val="24"/>
          <w:u w:val="single"/>
        </w:rPr>
        <w:t>满足发包人、城管、卫生防疫、环保及有关部门的相关要求</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关于编制施工场地治安管理计划的约定：</w:t>
      </w:r>
      <w:r>
        <w:rPr>
          <w:rStyle w:val="14"/>
          <w:rFonts w:hint="eastAsia" w:ascii="宋体" w:hAnsi="宋体" w:cs="宋体"/>
          <w:color w:val="000000"/>
          <w:sz w:val="24"/>
          <w:szCs w:val="24"/>
          <w:u w:val="single"/>
        </w:rPr>
        <w:t>另行协商</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6.1.3 文明施工</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合同当事人对文明施工的要求：</w:t>
      </w:r>
      <w:r>
        <w:rPr>
          <w:rStyle w:val="14"/>
          <w:rFonts w:hint="eastAsia" w:ascii="宋体" w:hAnsi="宋体" w:cs="宋体"/>
          <w:color w:val="000000"/>
          <w:sz w:val="24"/>
          <w:szCs w:val="24"/>
          <w:u w:val="single"/>
        </w:rPr>
        <w:t>合同当事人对文明施工的要求：一、施工安全：⑴承包人报请监理工程师和业主代表审批的施工组织设计中应有安全施工方案，要有安全施工管理系统，配备安全管理人员负责工程、车辆机械和施工人员的安全工作，将施工安全落到实处。⑵承包人要认真做好车辆机械的保养维护工作和驾驶操作人员的安全教育工作，车辆机械不得带病作业，不得违规操作，杜绝机械和车辆事故。二、施工噪音：工程施工期间，噪声对环境的影响必须满足国家和宿迁市有关法规要求。施工噪声遵守《建筑施工场界噪声限值》（GB12523－90）。在选择施工设备及施工方法时，承包人必须考虑由此产生的噪声标准及对施工人员和周围单位和居民的影响。在工程施工过程中，若发生施工噪声超标扰民事件，由承包人负责解决，业主予以配合。三、污水排放：所有的废水、污水应按批准的方法处理后排入排污系统，不得污染环境，由此而引进的后果由承包人自行负责。所有的施工垃圾应按照批准的方法运往批准的地点进行处理，生活垃圾应按照城市规定每天集中，纳入城市垃圾处理系统。四、夜间施工：承包人应按宿迁市有关规定要求办理夜间施工许可证。施工单位应充分考虑节假日及城市有关部门重大活动等期间限制夜间施工而对工期造成的影响，由于施工可能对周围居民、企事业等单位造成影响，可能由此而引发各种争议，这些争议应由承包人负责协调，发包人尽可能予以协助。五、安全文明施工：办公区设置公司、项目旗帜，生活区有绿化带；设置七牌一图和样板展示区。六、工程在施工过程中涉及的噪音、渣土、大气扬尘等（包括但不限于）一切手续及费用由承包人自行负责办理和承担</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6.1.4 关于安全文明施工费支付比例和支付期限的约定：</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bookmarkEnd w:id="224"/>
    <w:bookmarkEnd w:id="225"/>
    <w:bookmarkEnd w:id="226"/>
    <w:bookmarkEnd w:id="227"/>
    <w:bookmarkEnd w:id="228"/>
    <w:bookmarkEnd w:id="229"/>
    <w:bookmarkEnd w:id="230"/>
    <w:p>
      <w:pPr>
        <w:pStyle w:val="20"/>
        <w:keepNext/>
        <w:keepLines/>
        <w:bidi w:val="0"/>
        <w:spacing w:line="500" w:lineRule="exact"/>
        <w:outlineLvl w:val="3"/>
        <w:rPr>
          <w:rStyle w:val="14"/>
          <w:rFonts w:ascii="宋体" w:hAnsi="宋体" w:cs="宋体"/>
          <w:b/>
          <w:bCs/>
          <w:color w:val="000000"/>
          <w:sz w:val="24"/>
          <w:szCs w:val="24"/>
        </w:rPr>
      </w:pPr>
      <w:bookmarkStart w:id="236" w:name="_Toc351203639"/>
      <w:r>
        <w:rPr>
          <w:rStyle w:val="14"/>
          <w:rFonts w:hint="eastAsia" w:ascii="宋体" w:hAnsi="宋体" w:cs="宋体"/>
          <w:b/>
          <w:bCs/>
          <w:color w:val="000000"/>
          <w:sz w:val="24"/>
          <w:szCs w:val="24"/>
        </w:rPr>
        <w:t>7. 工期和进度</w:t>
      </w:r>
      <w:bookmarkEnd w:id="236"/>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7.1 施工组织设计</w:t>
      </w:r>
    </w:p>
    <w:p>
      <w:pPr>
        <w:pStyle w:val="20"/>
        <w:autoSpaceDE w:val="0"/>
        <w:autoSpaceDN w:val="0"/>
        <w:bidi w:val="0"/>
        <w:adjustRightInd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7.1.1 合同当事人约定的施工组织设计应包括的其他内容：</w:t>
      </w:r>
      <w:r>
        <w:rPr>
          <w:rStyle w:val="14"/>
          <w:rFonts w:hint="eastAsia" w:ascii="宋体" w:hAnsi="宋体" w:cs="宋体"/>
          <w:color w:val="000000"/>
          <w:sz w:val="24"/>
          <w:szCs w:val="24"/>
          <w:u w:val="single"/>
        </w:rPr>
        <w:t>见成交单位响应文件</w:t>
      </w:r>
      <w:r>
        <w:rPr>
          <w:rStyle w:val="14"/>
          <w:rFonts w:hint="eastAsia" w:ascii="宋体" w:hAnsi="宋体" w:cs="宋体"/>
          <w:color w:val="000000"/>
          <w:sz w:val="24"/>
          <w:szCs w:val="24"/>
        </w:rPr>
        <w:t>。</w:t>
      </w:r>
    </w:p>
    <w:p>
      <w:pPr>
        <w:pStyle w:val="20"/>
        <w:autoSpaceDE w:val="0"/>
        <w:autoSpaceDN w:val="0"/>
        <w:bidi w:val="0"/>
        <w:adjustRightInd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7.1.2 施工组织设计的提交和修改</w:t>
      </w:r>
    </w:p>
    <w:p>
      <w:pPr>
        <w:pStyle w:val="20"/>
        <w:autoSpaceDE w:val="0"/>
        <w:autoSpaceDN w:val="0"/>
        <w:bidi w:val="0"/>
        <w:adjustRightInd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承包人提交详细施工组织设计的期限的约定：</w:t>
      </w:r>
      <w:r>
        <w:rPr>
          <w:rStyle w:val="14"/>
          <w:rFonts w:hint="eastAsia" w:ascii="宋体" w:hAnsi="宋体" w:cs="宋体"/>
          <w:color w:val="000000"/>
          <w:sz w:val="24"/>
          <w:szCs w:val="24"/>
          <w:u w:val="single"/>
        </w:rPr>
        <w:t>施工组织设计和总进度计划应于合同签订前提交发包人及监理工程师审批，总进度计划应满足竞争性磋商文件和合同对工期的要求。</w:t>
      </w:r>
    </w:p>
    <w:p>
      <w:pPr>
        <w:pStyle w:val="20"/>
        <w:autoSpaceDE w:val="0"/>
        <w:autoSpaceDN w:val="0"/>
        <w:bidi w:val="0"/>
        <w:adjustRightInd w:val="0"/>
        <w:spacing w:line="500" w:lineRule="exact"/>
        <w:ind w:firstLine="480" w:firstLineChars="200"/>
        <w:rPr>
          <w:rStyle w:val="14"/>
          <w:rFonts w:ascii="宋体" w:hAnsi="宋体" w:cs="宋体"/>
          <w:sz w:val="24"/>
          <w:szCs w:val="24"/>
        </w:rPr>
      </w:pPr>
      <w:r>
        <w:rPr>
          <w:rStyle w:val="14"/>
          <w:rFonts w:hint="eastAsia" w:ascii="宋体" w:hAnsi="宋体" w:cs="宋体"/>
          <w:color w:val="000000"/>
          <w:sz w:val="24"/>
          <w:szCs w:val="24"/>
        </w:rPr>
        <w:t>发包人和监理人在收到详细的施工组织设计后确认或提出修改意见的期</w:t>
      </w:r>
      <w:r>
        <w:rPr>
          <w:rStyle w:val="14"/>
          <w:rFonts w:hint="eastAsia" w:ascii="宋体" w:hAnsi="宋体" w:cs="宋体"/>
          <w:sz w:val="24"/>
          <w:szCs w:val="24"/>
        </w:rPr>
        <w:t>限：</w:t>
      </w:r>
      <w:r>
        <w:rPr>
          <w:rStyle w:val="14"/>
          <w:rFonts w:hint="eastAsia" w:ascii="宋体" w:hAnsi="宋体" w:cs="宋体"/>
          <w:sz w:val="24"/>
          <w:szCs w:val="24"/>
          <w:u w:val="single"/>
        </w:rPr>
        <w:t>发包人代表和监理工程师应于收到承包人资料3天内予以确认，逾期不批复，可视为该施工组织设计（施工方案）和进度计划已获批准。承包人必须按照批准的进度计划组织施工，接受发包人代表和监理工程师对进度的检查、监督，当工程实际进展与进度计划不符时，应及时调整，调整后的进度计划及相应的措施报发包人代表和监理工程师批准后执行。承包人执行已审批的施工组织设计（施工方案）和进度计划时，不免除其工期、质量的责任（不可抗力事件除外）。</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7</w:t>
      </w:r>
      <w:bookmarkStart w:id="237" w:name="_Toc312678005"/>
      <w:bookmarkStart w:id="238" w:name="_Toc303539123"/>
      <w:bookmarkStart w:id="239" w:name="_Toc297216173"/>
      <w:bookmarkStart w:id="240" w:name="_Toc312677479"/>
      <w:bookmarkStart w:id="241" w:name="_Toc304295541"/>
      <w:bookmarkStart w:id="242" w:name="_Toc297123514"/>
      <w:bookmarkStart w:id="243" w:name="_Toc300934966"/>
      <w:r>
        <w:rPr>
          <w:rStyle w:val="14"/>
          <w:rFonts w:hint="eastAsia" w:ascii="宋体" w:hAnsi="宋体" w:cs="宋体"/>
          <w:bCs/>
          <w:color w:val="000000"/>
          <w:sz w:val="24"/>
          <w:szCs w:val="24"/>
        </w:rPr>
        <w:t>.2 施工进度计划</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7.2.1 施工进度计划的修订</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发包人和监理人在收到修订的施工进度计划后确认或提出修改意见的期限：</w:t>
      </w:r>
      <w:r>
        <w:rPr>
          <w:rStyle w:val="14"/>
          <w:rFonts w:hint="eastAsia" w:ascii="宋体" w:hAnsi="宋体" w:cs="宋体"/>
          <w:color w:val="000000"/>
          <w:sz w:val="24"/>
          <w:szCs w:val="24"/>
          <w:u w:val="single"/>
        </w:rPr>
        <w:t>24小时内</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7.3 开工</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7.3.1 开工准备</w:t>
      </w:r>
    </w:p>
    <w:p>
      <w:pPr>
        <w:pStyle w:val="20"/>
        <w:bidi w:val="0"/>
        <w:spacing w:line="500" w:lineRule="exact"/>
        <w:ind w:firstLine="645"/>
        <w:rPr>
          <w:rStyle w:val="14"/>
          <w:rFonts w:ascii="宋体" w:hAnsi="宋体" w:cs="宋体"/>
          <w:color w:val="000000"/>
          <w:sz w:val="24"/>
          <w:szCs w:val="24"/>
          <w:u w:val="single"/>
        </w:rPr>
      </w:pPr>
      <w:r>
        <w:rPr>
          <w:rStyle w:val="14"/>
          <w:rFonts w:hint="eastAsia" w:ascii="宋体" w:hAnsi="宋体" w:cs="宋体"/>
          <w:color w:val="000000"/>
          <w:sz w:val="24"/>
          <w:szCs w:val="24"/>
        </w:rPr>
        <w:t>关于承包人提交工程开工报审表的期限：</w:t>
      </w:r>
      <w:r>
        <w:rPr>
          <w:rStyle w:val="14"/>
          <w:rFonts w:hint="eastAsia" w:ascii="宋体" w:hAnsi="宋体" w:cs="宋体"/>
          <w:color w:val="000000"/>
          <w:sz w:val="24"/>
          <w:szCs w:val="24"/>
          <w:u w:val="single"/>
        </w:rPr>
        <w:t>24小时内</w:t>
      </w:r>
      <w:r>
        <w:rPr>
          <w:rStyle w:val="14"/>
          <w:rFonts w:hint="eastAsia" w:ascii="宋体" w:hAnsi="宋体" w:cs="宋体"/>
          <w:color w:val="000000"/>
          <w:sz w:val="24"/>
          <w:szCs w:val="24"/>
        </w:rPr>
        <w:t>。</w:t>
      </w:r>
    </w:p>
    <w:p>
      <w:pPr>
        <w:pStyle w:val="20"/>
        <w:bidi w:val="0"/>
        <w:spacing w:line="500" w:lineRule="exact"/>
        <w:ind w:firstLine="645"/>
        <w:rPr>
          <w:rStyle w:val="14"/>
          <w:rFonts w:ascii="宋体" w:hAnsi="宋体" w:cs="宋体"/>
          <w:color w:val="000000"/>
          <w:sz w:val="24"/>
          <w:szCs w:val="24"/>
        </w:rPr>
      </w:pPr>
      <w:r>
        <w:rPr>
          <w:rStyle w:val="14"/>
          <w:rFonts w:hint="eastAsia" w:ascii="宋体" w:hAnsi="宋体" w:cs="宋体"/>
          <w:color w:val="000000"/>
          <w:sz w:val="24"/>
          <w:szCs w:val="24"/>
        </w:rPr>
        <w:t>关于发包人应完成的其他开工准备工作及期限：</w:t>
      </w:r>
      <w:r>
        <w:rPr>
          <w:rStyle w:val="14"/>
          <w:rFonts w:hint="eastAsia" w:ascii="宋体" w:hAnsi="宋体" w:cs="宋体"/>
          <w:color w:val="000000"/>
          <w:sz w:val="24"/>
          <w:szCs w:val="24"/>
          <w:u w:val="single"/>
        </w:rPr>
        <w:t>合同签订前。</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关于承包人应完成的其他开工准备工作及期限：</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7.3.2开工通知</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成交通知书发出后，合同签订日作为开工日。</w:t>
      </w:r>
    </w:p>
    <w:bookmarkEnd w:id="237"/>
    <w:bookmarkEnd w:id="238"/>
    <w:bookmarkEnd w:id="239"/>
    <w:bookmarkEnd w:id="240"/>
    <w:bookmarkEnd w:id="241"/>
    <w:bookmarkEnd w:id="242"/>
    <w:bookmarkEnd w:id="243"/>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7.4 测量放线</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7.4.1发包人通过监理人向承包人提供测量基准点、基准线和水准点及其书面资料的期限：</w:t>
      </w:r>
      <w:r>
        <w:rPr>
          <w:rStyle w:val="14"/>
          <w:rFonts w:hint="eastAsia" w:ascii="宋体" w:hAnsi="宋体" w:cs="宋体"/>
          <w:color w:val="000000"/>
          <w:sz w:val="24"/>
          <w:szCs w:val="24"/>
          <w:u w:val="single"/>
        </w:rPr>
        <w:t>另行约定</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7</w:t>
      </w:r>
      <w:bookmarkStart w:id="244" w:name="_Toc297123516"/>
      <w:bookmarkStart w:id="245" w:name="_Toc300934968"/>
      <w:bookmarkStart w:id="246" w:name="_Toc297216175"/>
      <w:bookmarkStart w:id="247" w:name="_Toc312677484"/>
      <w:bookmarkStart w:id="248" w:name="_Toc304295546"/>
      <w:bookmarkStart w:id="249" w:name="_Toc312678010"/>
      <w:bookmarkStart w:id="250" w:name="_Toc303539125"/>
      <w:r>
        <w:rPr>
          <w:rStyle w:val="14"/>
          <w:rFonts w:hint="eastAsia" w:ascii="宋体" w:hAnsi="宋体" w:cs="宋体"/>
          <w:bCs/>
          <w:color w:val="000000"/>
          <w:sz w:val="24"/>
          <w:szCs w:val="24"/>
        </w:rPr>
        <w:t>.5 工期延误</w:t>
      </w:r>
    </w:p>
    <w:bookmarkEnd w:id="244"/>
    <w:bookmarkEnd w:id="245"/>
    <w:bookmarkEnd w:id="246"/>
    <w:bookmarkEnd w:id="247"/>
    <w:bookmarkEnd w:id="248"/>
    <w:bookmarkEnd w:id="249"/>
    <w:bookmarkEnd w:id="250"/>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7.5.1 因发包人原因导致工期延误</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因发包人原因导致工期延误的其他情形：</w:t>
      </w:r>
      <w:r>
        <w:rPr>
          <w:rStyle w:val="14"/>
          <w:rFonts w:hint="eastAsia" w:ascii="宋体" w:hAnsi="宋体" w:cs="宋体"/>
          <w:color w:val="000000"/>
          <w:sz w:val="24"/>
          <w:szCs w:val="24"/>
          <w:u w:val="single"/>
        </w:rPr>
        <w:t>由于发包人的责任而造成的停工，工期顺延</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7</w:t>
      </w:r>
      <w:bookmarkStart w:id="251" w:name="_Toc297216177"/>
      <w:bookmarkStart w:id="252" w:name="_Toc304295548"/>
      <w:bookmarkStart w:id="253" w:name="_Toc318581169"/>
      <w:bookmarkStart w:id="254" w:name="_Toc300934970"/>
      <w:bookmarkStart w:id="255" w:name="_Toc297123518"/>
      <w:bookmarkStart w:id="256" w:name="_Toc312678012"/>
      <w:bookmarkStart w:id="257" w:name="_Toc312677486"/>
      <w:bookmarkStart w:id="258" w:name="_Toc303539127"/>
      <w:r>
        <w:rPr>
          <w:rStyle w:val="14"/>
          <w:rFonts w:hint="eastAsia" w:ascii="宋体" w:hAnsi="宋体" w:cs="宋体"/>
          <w:color w:val="000000"/>
          <w:sz w:val="24"/>
          <w:szCs w:val="24"/>
        </w:rPr>
        <w:t>.5.2 因承包人原因导致工期延误</w:t>
      </w:r>
    </w:p>
    <w:bookmarkEnd w:id="251"/>
    <w:bookmarkEnd w:id="252"/>
    <w:bookmarkEnd w:id="253"/>
    <w:bookmarkEnd w:id="254"/>
    <w:bookmarkEnd w:id="255"/>
    <w:bookmarkEnd w:id="256"/>
    <w:bookmarkEnd w:id="257"/>
    <w:bookmarkEnd w:id="258"/>
    <w:p>
      <w:pPr>
        <w:pStyle w:val="20"/>
        <w:bidi w:val="0"/>
        <w:spacing w:line="500" w:lineRule="exact"/>
        <w:ind w:firstLine="480" w:firstLineChars="200"/>
        <w:rPr>
          <w:rStyle w:val="14"/>
          <w:rFonts w:ascii="宋体" w:hAnsi="宋体" w:cs="宋体"/>
          <w:color w:val="000000"/>
          <w:sz w:val="24"/>
          <w:szCs w:val="24"/>
          <w:u w:val="single"/>
        </w:rPr>
      </w:pPr>
      <w:bookmarkStart w:id="259" w:name="_Toc318581171"/>
      <w:bookmarkStart w:id="260" w:name="_Toc312678014"/>
      <w:r>
        <w:rPr>
          <w:rStyle w:val="14"/>
          <w:rFonts w:hint="eastAsia" w:ascii="宋体" w:hAnsi="宋体" w:cs="宋体"/>
          <w:color w:val="000000"/>
          <w:sz w:val="24"/>
          <w:szCs w:val="24"/>
          <w:u w:val="single"/>
        </w:rPr>
        <w:t>合同工期按本合同相关条款约定的工期，如工期延误，应承担违约责任，并向发包人支付违约金，工期每延误一天收取2000元人民币违约金，误期赔偿费限额为合同价款的20%，并要求承包人赔偿相关损失。</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u w:val="single"/>
        </w:rPr>
        <w:t>当承包人施工进度或工程质量明显无法达到原定计划标准时，发包人有权提出更换注册建造师，同时，发包方有权安排其他相关施工队进场施工，费用从工程款中扣除，并处以20万元的违约金，本合同其他违约责任照样执行。</w:t>
      </w:r>
    </w:p>
    <w:bookmarkEnd w:id="259"/>
    <w:bookmarkEnd w:id="260"/>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7</w:t>
      </w:r>
      <w:bookmarkStart w:id="261" w:name="_Toc312678015"/>
      <w:bookmarkStart w:id="262" w:name="_Toc297216178"/>
      <w:bookmarkStart w:id="263" w:name="_Toc297123519"/>
      <w:bookmarkStart w:id="264" w:name="_Toc303539128"/>
      <w:bookmarkStart w:id="265" w:name="_Toc304295549"/>
      <w:bookmarkStart w:id="266" w:name="_Toc300934971"/>
      <w:r>
        <w:rPr>
          <w:rStyle w:val="14"/>
          <w:rFonts w:hint="eastAsia" w:ascii="宋体" w:hAnsi="宋体" w:cs="宋体"/>
          <w:bCs/>
          <w:color w:val="000000"/>
          <w:sz w:val="24"/>
          <w:szCs w:val="24"/>
        </w:rPr>
        <w:t>.6 不</w:t>
      </w:r>
      <w:bookmarkEnd w:id="261"/>
      <w:bookmarkEnd w:id="262"/>
      <w:bookmarkEnd w:id="263"/>
      <w:bookmarkEnd w:id="264"/>
      <w:bookmarkEnd w:id="265"/>
      <w:bookmarkEnd w:id="266"/>
      <w:r>
        <w:rPr>
          <w:rStyle w:val="14"/>
          <w:rFonts w:hint="eastAsia" w:ascii="宋体" w:hAnsi="宋体" w:cs="宋体"/>
          <w:bCs/>
          <w:color w:val="000000"/>
          <w:sz w:val="24"/>
          <w:szCs w:val="24"/>
        </w:rPr>
        <w:t>利物质条件</w:t>
      </w:r>
    </w:p>
    <w:p>
      <w:pPr>
        <w:pStyle w:val="20"/>
        <w:bidi w:val="0"/>
        <w:spacing w:line="500" w:lineRule="exact"/>
        <w:ind w:firstLine="480" w:firstLineChars="200"/>
        <w:rPr>
          <w:rStyle w:val="14"/>
          <w:rFonts w:ascii="宋体" w:hAnsi="宋体" w:cs="宋体"/>
          <w:color w:val="000000"/>
          <w:sz w:val="24"/>
          <w:szCs w:val="24"/>
        </w:rPr>
      </w:pPr>
      <w:bookmarkStart w:id="267" w:name="_Toc300934972"/>
      <w:bookmarkStart w:id="268" w:name="_Toc297123520"/>
      <w:bookmarkStart w:id="269" w:name="_Toc303539129"/>
      <w:bookmarkStart w:id="270" w:name="_Toc312678016"/>
      <w:bookmarkStart w:id="271" w:name="_Toc297216179"/>
      <w:bookmarkStart w:id="272" w:name="_Toc304295550"/>
      <w:bookmarkStart w:id="273" w:name="_Toc318581172"/>
      <w:r>
        <w:rPr>
          <w:rStyle w:val="14"/>
          <w:rFonts w:hint="eastAsia" w:ascii="宋体" w:hAnsi="宋体" w:cs="宋体"/>
          <w:color w:val="000000"/>
          <w:sz w:val="24"/>
          <w:szCs w:val="24"/>
        </w:rPr>
        <w:t>不利物质条件的其他情形和有关约定：</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bookmarkEnd w:id="267"/>
    <w:bookmarkEnd w:id="268"/>
    <w:bookmarkEnd w:id="269"/>
    <w:bookmarkEnd w:id="270"/>
    <w:bookmarkEnd w:id="271"/>
    <w:bookmarkEnd w:id="272"/>
    <w:bookmarkEnd w:id="273"/>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7</w:t>
      </w:r>
      <w:bookmarkStart w:id="274" w:name="_Toc312678017"/>
      <w:bookmarkStart w:id="275" w:name="_Toc303539130"/>
      <w:bookmarkStart w:id="276" w:name="_Toc297123521"/>
      <w:bookmarkStart w:id="277" w:name="_Toc304295551"/>
      <w:bookmarkStart w:id="278" w:name="_Toc300934973"/>
      <w:bookmarkStart w:id="279" w:name="_Toc297216180"/>
      <w:r>
        <w:rPr>
          <w:rStyle w:val="14"/>
          <w:rFonts w:hint="eastAsia" w:ascii="宋体" w:hAnsi="宋体" w:cs="宋体"/>
          <w:bCs/>
          <w:color w:val="000000"/>
          <w:sz w:val="24"/>
          <w:szCs w:val="24"/>
        </w:rPr>
        <w:t>.7异常恶劣的气候条件</w:t>
      </w:r>
    </w:p>
    <w:bookmarkEnd w:id="274"/>
    <w:bookmarkEnd w:id="275"/>
    <w:bookmarkEnd w:id="276"/>
    <w:bookmarkEnd w:id="277"/>
    <w:bookmarkEnd w:id="278"/>
    <w:bookmarkEnd w:id="279"/>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发包人和承包人同意以下情形视为异常恶劣的气候条件：</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color w:val="000000"/>
          <w:sz w:val="24"/>
          <w:szCs w:val="24"/>
        </w:rPr>
        <w:t>（1）</w:t>
      </w:r>
      <w:r>
        <w:rPr>
          <w:rStyle w:val="14"/>
          <w:rFonts w:hint="eastAsia" w:ascii="宋体" w:hAnsi="宋体" w:cs="宋体"/>
          <w:color w:val="000000"/>
          <w:sz w:val="24"/>
          <w:szCs w:val="24"/>
          <w:u w:val="single"/>
          <w:shd w:val="clear" w:color="auto" w:fill="FFFFFF"/>
        </w:rPr>
        <w:t>风力达到或超过8级的天气现象；地震震级达到5级及以上的自然现象等</w:t>
      </w:r>
      <w:r>
        <w:rPr>
          <w:rStyle w:val="14"/>
          <w:rFonts w:hint="eastAsia" w:ascii="宋体" w:hAnsi="宋体" w:cs="宋体"/>
          <w:color w:val="000000"/>
          <w:sz w:val="24"/>
          <w:szCs w:val="24"/>
          <w:u w:val="single"/>
        </w:rPr>
        <w:t>；</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（2）</w:t>
      </w:r>
      <w:r>
        <w:rPr>
          <w:rStyle w:val="14"/>
          <w:rFonts w:hint="eastAsia" w:ascii="宋体" w:hAnsi="宋体" w:cs="宋体"/>
          <w:color w:val="000000"/>
          <w:sz w:val="24"/>
          <w:szCs w:val="24"/>
          <w:u w:val="single"/>
          <w:shd w:val="clear" w:color="auto" w:fill="FFFFFF"/>
        </w:rPr>
        <w:t>日降水量大于80mm且降水持续三日的天气现象</w:t>
      </w:r>
      <w:r>
        <w:rPr>
          <w:rStyle w:val="14"/>
          <w:rFonts w:hint="eastAsia" w:ascii="宋体" w:hAnsi="宋体" w:cs="宋体"/>
          <w:color w:val="000000"/>
          <w:sz w:val="24"/>
          <w:szCs w:val="24"/>
        </w:rPr>
        <w:t>；</w:t>
      </w:r>
    </w:p>
    <w:p>
      <w:pPr>
        <w:pStyle w:val="20"/>
        <w:bidi w:val="0"/>
        <w:spacing w:line="500" w:lineRule="exact"/>
        <w:rPr>
          <w:rStyle w:val="14"/>
          <w:rFonts w:ascii="宋体" w:hAnsi="宋体" w:cs="宋体"/>
          <w:color w:val="000000"/>
          <w:sz w:val="24"/>
          <w:szCs w:val="24"/>
          <w:shd w:val="clear" w:color="auto" w:fill="FFFFFF"/>
        </w:rPr>
      </w:pPr>
      <w:r>
        <w:rPr>
          <w:rStyle w:val="14"/>
          <w:rFonts w:hint="eastAsia" w:ascii="宋体" w:hAnsi="宋体" w:cs="宋体"/>
          <w:color w:val="000000"/>
          <w:sz w:val="24"/>
          <w:szCs w:val="24"/>
        </w:rPr>
        <w:t>（3）</w:t>
      </w:r>
      <w:r>
        <w:rPr>
          <w:rStyle w:val="14"/>
          <w:rFonts w:hint="eastAsia" w:ascii="宋体" w:hAnsi="宋体" w:cs="宋体"/>
          <w:color w:val="000000"/>
          <w:sz w:val="24"/>
          <w:szCs w:val="24"/>
          <w:u w:val="single"/>
          <w:shd w:val="clear" w:color="auto" w:fill="FFFFFF"/>
        </w:rPr>
        <w:t>日降雪量大于10mm且降雪持续三日的天气现象</w:t>
      </w:r>
      <w:r>
        <w:rPr>
          <w:rStyle w:val="14"/>
          <w:rFonts w:hint="eastAsia" w:ascii="宋体" w:hAnsi="宋体" w:cs="宋体"/>
          <w:color w:val="000000"/>
          <w:sz w:val="24"/>
          <w:szCs w:val="24"/>
          <w:shd w:val="clear" w:color="auto" w:fill="FFFFFF"/>
        </w:rPr>
        <w:t>；</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rPr>
        <w:t>（4）</w:t>
      </w:r>
      <w:r>
        <w:rPr>
          <w:rStyle w:val="14"/>
          <w:rFonts w:hint="eastAsia" w:ascii="宋体" w:hAnsi="宋体" w:cs="宋体"/>
          <w:color w:val="000000"/>
          <w:sz w:val="24"/>
          <w:szCs w:val="24"/>
          <w:u w:val="single"/>
          <w:shd w:val="clear" w:color="auto" w:fill="FFFFFF"/>
        </w:rPr>
        <w:t>地震震级达到5级及以上的自然现象等</w:t>
      </w:r>
      <w:r>
        <w:rPr>
          <w:rStyle w:val="14"/>
          <w:rFonts w:hint="eastAsia" w:ascii="宋体" w:hAnsi="宋体" w:cs="宋体"/>
          <w:color w:val="000000"/>
          <w:sz w:val="24"/>
          <w:szCs w:val="24"/>
          <w:shd w:val="clear" w:color="auto" w:fill="FFFFFF"/>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7.8 提前竣工的奖励</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7.8.1提前竣工的奖励：</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keepNext/>
        <w:keepLines/>
        <w:bidi w:val="0"/>
        <w:spacing w:line="500" w:lineRule="exact"/>
        <w:outlineLvl w:val="3"/>
        <w:rPr>
          <w:rStyle w:val="14"/>
          <w:rFonts w:ascii="宋体" w:hAnsi="宋体" w:cs="宋体"/>
          <w:b/>
          <w:bCs/>
          <w:color w:val="000000"/>
          <w:sz w:val="24"/>
          <w:szCs w:val="24"/>
        </w:rPr>
      </w:pPr>
      <w:bookmarkStart w:id="280" w:name="_Toc351203640"/>
      <w:r>
        <w:rPr>
          <w:rStyle w:val="14"/>
          <w:rFonts w:hint="eastAsia" w:ascii="宋体" w:hAnsi="宋体" w:cs="宋体"/>
          <w:b/>
          <w:bCs/>
          <w:color w:val="000000"/>
          <w:sz w:val="24"/>
          <w:szCs w:val="24"/>
        </w:rPr>
        <w:t>8. 材料与设备</w:t>
      </w:r>
      <w:bookmarkEnd w:id="280"/>
    </w:p>
    <w:bookmarkEnd w:id="210"/>
    <w:bookmarkEnd w:id="211"/>
    <w:bookmarkEnd w:id="212"/>
    <w:bookmarkEnd w:id="213"/>
    <w:bookmarkEnd w:id="214"/>
    <w:bookmarkEnd w:id="215"/>
    <w:bookmarkEnd w:id="216"/>
    <w:bookmarkEnd w:id="217"/>
    <w:bookmarkEnd w:id="218"/>
    <w:bookmarkEnd w:id="219"/>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8</w:t>
      </w:r>
      <w:bookmarkStart w:id="281" w:name="_Toc296503167"/>
      <w:bookmarkStart w:id="282" w:name="_Toc296891207"/>
      <w:bookmarkStart w:id="283" w:name="_Toc292559372"/>
      <w:bookmarkStart w:id="284" w:name="_Toc296890995"/>
      <w:bookmarkStart w:id="285" w:name="_Toc297048353"/>
      <w:bookmarkStart w:id="286" w:name="_Toc296347166"/>
      <w:bookmarkStart w:id="287" w:name="_Toc296346668"/>
      <w:bookmarkStart w:id="288" w:name="_Toc297216186"/>
      <w:bookmarkStart w:id="289" w:name="_Toc292559877"/>
      <w:bookmarkStart w:id="290" w:name="_Toc312678019"/>
      <w:bookmarkStart w:id="291" w:name="_Toc300934979"/>
      <w:bookmarkStart w:id="292" w:name="_Toc303539136"/>
      <w:bookmarkStart w:id="293" w:name="_Toc312677493"/>
      <w:bookmarkStart w:id="294" w:name="_Toc297120467"/>
      <w:bookmarkStart w:id="295" w:name="_Toc297123527"/>
      <w:bookmarkStart w:id="296" w:name="_Toc296944506"/>
      <w:bookmarkStart w:id="297" w:name="_Toc280868654"/>
      <w:bookmarkStart w:id="298" w:name="_Toc304295556"/>
      <w:bookmarkStart w:id="299" w:name="_Toc267251424"/>
      <w:bookmarkStart w:id="300" w:name="_Toc280868655"/>
      <w:bookmarkStart w:id="301" w:name="_Toc280868656"/>
      <w:r>
        <w:rPr>
          <w:rStyle w:val="14"/>
          <w:rFonts w:hint="eastAsia" w:ascii="宋体" w:hAnsi="宋体" w:cs="宋体"/>
          <w:bCs/>
          <w:color w:val="000000"/>
          <w:sz w:val="24"/>
          <w:szCs w:val="24"/>
        </w:rPr>
        <w:t>.1材料与工程设备的保管与使用</w:t>
      </w:r>
    </w:p>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8</w:t>
      </w:r>
      <w:bookmarkStart w:id="302" w:name="_Toc292559878"/>
      <w:bookmarkStart w:id="303" w:name="_Toc292559373"/>
      <w:bookmarkStart w:id="304" w:name="_Toc296891208"/>
      <w:bookmarkStart w:id="305" w:name="_Toc312677494"/>
      <w:bookmarkStart w:id="306" w:name="_Toc304295557"/>
      <w:bookmarkStart w:id="307" w:name="_Toc312678020"/>
      <w:bookmarkStart w:id="308" w:name="_Toc296346669"/>
      <w:bookmarkStart w:id="309" w:name="_Toc303539137"/>
      <w:bookmarkStart w:id="310" w:name="_Toc297120468"/>
      <w:bookmarkStart w:id="311" w:name="_Toc297048354"/>
      <w:bookmarkStart w:id="312" w:name="_Toc297123528"/>
      <w:bookmarkStart w:id="313" w:name="_Toc296503168"/>
      <w:bookmarkStart w:id="314" w:name="_Toc297216187"/>
      <w:bookmarkStart w:id="315" w:name="_Toc296347167"/>
      <w:bookmarkStart w:id="316" w:name="_Toc296944507"/>
      <w:bookmarkStart w:id="317" w:name="_Toc318581173"/>
      <w:bookmarkStart w:id="318" w:name="_Toc300934980"/>
      <w:bookmarkStart w:id="319" w:name="_Toc296890996"/>
      <w:r>
        <w:rPr>
          <w:rStyle w:val="14"/>
          <w:rFonts w:hint="eastAsia" w:ascii="宋体" w:hAnsi="宋体" w:cs="宋体"/>
          <w:color w:val="000000"/>
          <w:sz w:val="24"/>
          <w:szCs w:val="24"/>
        </w:rPr>
        <w:t>.1.1发包人供应的材料设备的保管费用的承担：</w:t>
      </w:r>
      <w:r>
        <w:rPr>
          <w:rStyle w:val="14"/>
          <w:rFonts w:hint="eastAsia" w:ascii="宋体" w:hAnsi="宋体" w:cs="宋体"/>
          <w:color w:val="000000"/>
          <w:sz w:val="24"/>
          <w:szCs w:val="24"/>
          <w:u w:val="single"/>
        </w:rPr>
        <w:t xml:space="preserve"> 无 </w:t>
      </w:r>
      <w:r>
        <w:rPr>
          <w:rStyle w:val="14"/>
          <w:rFonts w:hint="eastAsia" w:ascii="宋体" w:hAnsi="宋体" w:cs="宋体"/>
          <w:color w:val="000000"/>
          <w:sz w:val="24"/>
          <w:szCs w:val="24"/>
        </w:rPr>
        <w:t>。</w:t>
      </w:r>
      <w:bookmarkEnd w:id="302"/>
      <w:bookmarkEnd w:id="303"/>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8.1.2承包人采购材料设备的约定：</w:t>
      </w:r>
      <w:r>
        <w:rPr>
          <w:rStyle w:val="14"/>
          <w:rFonts w:hint="eastAsia" w:ascii="宋体" w:hAnsi="宋体" w:cs="宋体"/>
          <w:color w:val="000000"/>
          <w:sz w:val="24"/>
          <w:szCs w:val="24"/>
          <w:u w:val="single"/>
        </w:rPr>
        <w:t>双方约定承包人采购的材料设备必须符合有关规范、设计图纸规定的质量要求，且需经发包人代表及监理工程师验收并现场取样送检合格后方可进场，否则必须及时清退，因检验不合格造成的损失由承包人负责。如果发现承包方在原材料采购上采用以次充好，使用劣质产品、仿冒产品，擅自降低材料的规格标准，每次给予5万元的处罚。</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u w:val="single"/>
        </w:rPr>
        <w:t>承包人采购的材料需要送检，且必须经发包方、承包方三方共同见证下随机取样、封样，由发包人委托第三方检测机构进行检测，检测费用由承包方支付。</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u w:val="single"/>
        </w:rPr>
        <w:t>如果投标人投标时未填报品牌，后期施工过程中发包人有权指定清单中列举的任何一种品牌；若投标人填报的品牌不为清单推荐的品牌，则投标人必须提供充分且可靠的技术资料，技术资料须证明所投品牌法人材料高于或等于同等清单推荐的品牌档次、功能及质量。并经招标人同意。</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8.2 样品</w:t>
      </w:r>
    </w:p>
    <w:p>
      <w:pPr>
        <w:pStyle w:val="20"/>
        <w:autoSpaceDE w:val="0"/>
        <w:autoSpaceDN w:val="0"/>
        <w:bidi w:val="0"/>
        <w:adjustRightInd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8.2.1</w:t>
      </w:r>
      <w:r>
        <w:rPr>
          <w:rStyle w:val="14"/>
          <w:rFonts w:hint="eastAsia" w:ascii="宋体" w:hAnsi="宋体" w:cs="宋体"/>
          <w:color w:val="000000"/>
          <w:sz w:val="24"/>
          <w:szCs w:val="24"/>
        </w:rPr>
        <w:tab/>
      </w:r>
      <w:r>
        <w:rPr>
          <w:rStyle w:val="14"/>
          <w:rFonts w:hint="eastAsia" w:ascii="宋体" w:hAnsi="宋体" w:cs="宋体"/>
          <w:color w:val="000000"/>
          <w:sz w:val="24"/>
          <w:szCs w:val="24"/>
        </w:rPr>
        <w:t>样品的报送与封存</w:t>
      </w:r>
    </w:p>
    <w:p>
      <w:pPr>
        <w:pStyle w:val="20"/>
        <w:autoSpaceDE w:val="0"/>
        <w:autoSpaceDN w:val="0"/>
        <w:bidi w:val="0"/>
        <w:adjustRightInd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需要承包人报送样品的材料或工程设备，样品的种类、名称、规格、数量要求：</w:t>
      </w:r>
      <w:r>
        <w:rPr>
          <w:rStyle w:val="14"/>
          <w:rFonts w:hint="eastAsia" w:ascii="宋体" w:hAnsi="宋体" w:cs="宋体"/>
          <w:color w:val="000000"/>
          <w:sz w:val="24"/>
          <w:szCs w:val="24"/>
          <w:u w:val="single"/>
        </w:rPr>
        <w:t>无</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8.3 施工设备和临时设施</w:t>
      </w:r>
    </w:p>
    <w:p>
      <w:pPr>
        <w:pStyle w:val="20"/>
        <w:autoSpaceDE w:val="0"/>
        <w:autoSpaceDN w:val="0"/>
        <w:bidi w:val="0"/>
        <w:adjustRightInd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8.3.1 承包人提供的施工设备和临时设施</w:t>
      </w:r>
    </w:p>
    <w:p>
      <w:pPr>
        <w:pStyle w:val="20"/>
        <w:autoSpaceDE w:val="0"/>
        <w:autoSpaceDN w:val="0"/>
        <w:bidi w:val="0"/>
        <w:adjustRightInd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关于修建临时设施费用承担的约定：</w:t>
      </w:r>
      <w:r>
        <w:rPr>
          <w:rStyle w:val="14"/>
          <w:rFonts w:hint="eastAsia" w:ascii="宋体" w:hAnsi="宋体" w:cs="宋体"/>
          <w:color w:val="000000"/>
          <w:sz w:val="24"/>
          <w:szCs w:val="24"/>
          <w:u w:val="single"/>
        </w:rPr>
        <w:t>由承包人自行承担</w:t>
      </w:r>
      <w:r>
        <w:rPr>
          <w:rStyle w:val="14"/>
          <w:rFonts w:hint="eastAsia" w:ascii="宋体" w:hAnsi="宋体" w:cs="宋体"/>
          <w:color w:val="000000"/>
          <w:sz w:val="24"/>
          <w:szCs w:val="24"/>
        </w:rPr>
        <w:t>。</w:t>
      </w:r>
    </w:p>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Pr>
        <w:pStyle w:val="20"/>
        <w:keepNext/>
        <w:keepLines/>
        <w:bidi w:val="0"/>
        <w:spacing w:line="500" w:lineRule="exact"/>
        <w:outlineLvl w:val="3"/>
        <w:rPr>
          <w:rStyle w:val="14"/>
          <w:rFonts w:ascii="宋体" w:hAnsi="宋体" w:cs="宋体"/>
          <w:b/>
          <w:bCs/>
          <w:color w:val="000000"/>
          <w:sz w:val="24"/>
          <w:szCs w:val="24"/>
        </w:rPr>
      </w:pPr>
      <w:bookmarkStart w:id="320" w:name="_Toc351203641"/>
      <w:r>
        <w:rPr>
          <w:rStyle w:val="14"/>
          <w:rFonts w:hint="eastAsia" w:ascii="宋体" w:hAnsi="宋体" w:cs="宋体"/>
          <w:b/>
          <w:bCs/>
          <w:color w:val="000000"/>
          <w:sz w:val="24"/>
          <w:szCs w:val="24"/>
        </w:rPr>
        <w:t>9</w:t>
      </w:r>
      <w:bookmarkEnd w:id="299"/>
      <w:bookmarkEnd w:id="300"/>
      <w:bookmarkEnd w:id="301"/>
      <w:bookmarkStart w:id="321" w:name="_Toc312677495"/>
      <w:bookmarkStart w:id="322" w:name="_Toc312678021"/>
      <w:bookmarkStart w:id="323" w:name="_Toc297123533"/>
      <w:bookmarkStart w:id="324" w:name="_Toc300934982"/>
      <w:bookmarkStart w:id="325" w:name="_Toc303539139"/>
      <w:bookmarkStart w:id="326" w:name="_Toc297216192"/>
      <w:bookmarkStart w:id="327" w:name="_Toc304295559"/>
      <w:bookmarkStart w:id="328" w:name="_Toc267251427"/>
      <w:bookmarkStart w:id="329" w:name="_Toc296891001"/>
      <w:bookmarkStart w:id="330" w:name="_Toc296347172"/>
      <w:bookmarkStart w:id="331" w:name="_Toc296891213"/>
      <w:bookmarkStart w:id="332" w:name="_Toc296503173"/>
      <w:bookmarkStart w:id="333" w:name="_Toc267251428"/>
      <w:bookmarkStart w:id="334" w:name="_Toc296944512"/>
      <w:bookmarkStart w:id="335" w:name="_Toc297120473"/>
      <w:bookmarkStart w:id="336" w:name="_Toc292559883"/>
      <w:bookmarkStart w:id="337" w:name="_Toc292559378"/>
      <w:bookmarkStart w:id="338" w:name="_Toc297048359"/>
      <w:bookmarkStart w:id="339" w:name="_Toc296346674"/>
      <w:r>
        <w:rPr>
          <w:rStyle w:val="14"/>
          <w:rFonts w:hint="eastAsia" w:ascii="宋体" w:hAnsi="宋体" w:cs="宋体"/>
          <w:b/>
          <w:bCs/>
          <w:color w:val="000000"/>
          <w:sz w:val="24"/>
          <w:szCs w:val="24"/>
        </w:rPr>
        <w:t>. 试验与检验</w:t>
      </w:r>
      <w:bookmarkEnd w:id="320"/>
    </w:p>
    <w:bookmarkEnd w:id="321"/>
    <w:bookmarkEnd w:id="322"/>
    <w:bookmarkEnd w:id="323"/>
    <w:bookmarkEnd w:id="324"/>
    <w:bookmarkEnd w:id="325"/>
    <w:bookmarkEnd w:id="326"/>
    <w:bookmarkEnd w:id="327"/>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9</w:t>
      </w:r>
      <w:bookmarkStart w:id="340" w:name="_Toc304295560"/>
      <w:bookmarkStart w:id="341" w:name="_Toc300934983"/>
      <w:bookmarkStart w:id="342" w:name="_Toc297123534"/>
      <w:bookmarkStart w:id="343" w:name="_Toc297216193"/>
      <w:bookmarkStart w:id="344" w:name="_Toc312677496"/>
      <w:bookmarkStart w:id="345" w:name="_Toc303539140"/>
      <w:bookmarkStart w:id="346" w:name="_Toc312678022"/>
      <w:r>
        <w:rPr>
          <w:rStyle w:val="14"/>
          <w:rFonts w:hint="eastAsia" w:ascii="宋体" w:hAnsi="宋体" w:cs="宋体"/>
          <w:bCs/>
          <w:color w:val="000000"/>
          <w:sz w:val="24"/>
          <w:szCs w:val="24"/>
        </w:rPr>
        <w:t>.1试验设备与试验人员</w:t>
      </w:r>
    </w:p>
    <w:bookmarkEnd w:id="340"/>
    <w:bookmarkEnd w:id="341"/>
    <w:bookmarkEnd w:id="342"/>
    <w:bookmarkEnd w:id="343"/>
    <w:bookmarkEnd w:id="344"/>
    <w:bookmarkEnd w:id="345"/>
    <w:bookmarkEnd w:id="346"/>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9</w:t>
      </w:r>
      <w:bookmarkStart w:id="347" w:name="_Toc312677497"/>
      <w:bookmarkStart w:id="348" w:name="_Toc312678023"/>
      <w:bookmarkStart w:id="349" w:name="_Toc297216194"/>
      <w:bookmarkStart w:id="350" w:name="_Toc297123535"/>
      <w:bookmarkStart w:id="351" w:name="_Toc304295561"/>
      <w:bookmarkStart w:id="352" w:name="_Toc300934984"/>
      <w:bookmarkStart w:id="353" w:name="_Toc303539141"/>
      <w:bookmarkStart w:id="354" w:name="_Toc318581174"/>
      <w:r>
        <w:rPr>
          <w:rStyle w:val="14"/>
          <w:rFonts w:hint="eastAsia" w:ascii="宋体" w:hAnsi="宋体" w:cs="宋体"/>
          <w:color w:val="000000"/>
          <w:sz w:val="24"/>
          <w:szCs w:val="24"/>
        </w:rPr>
        <w:t>.1.1 试验设备</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施工现场需要配置的试验场所：</w:t>
      </w:r>
      <w:bookmarkEnd w:id="347"/>
      <w:bookmarkEnd w:id="348"/>
      <w:bookmarkEnd w:id="349"/>
      <w:bookmarkEnd w:id="350"/>
      <w:bookmarkEnd w:id="351"/>
      <w:bookmarkEnd w:id="352"/>
      <w:bookmarkEnd w:id="353"/>
      <w:bookmarkStart w:id="355" w:name="_Toc303539142"/>
      <w:bookmarkStart w:id="356" w:name="_Toc304295562"/>
      <w:bookmarkStart w:id="357" w:name="_Toc300934985"/>
      <w:bookmarkStart w:id="358" w:name="_Toc312677498"/>
      <w:bookmarkStart w:id="359" w:name="_Toc297216195"/>
      <w:bookmarkStart w:id="360" w:name="_Toc312678024"/>
      <w:bookmarkStart w:id="361" w:name="_Toc297123536"/>
      <w:r>
        <w:rPr>
          <w:rStyle w:val="14"/>
          <w:rFonts w:hint="eastAsia" w:ascii="宋体" w:hAnsi="宋体" w:cs="宋体"/>
          <w:color w:val="000000"/>
          <w:sz w:val="24"/>
          <w:szCs w:val="24"/>
          <w:u w:val="single"/>
        </w:rPr>
        <w:t>按规范</w:t>
      </w:r>
      <w:r>
        <w:rPr>
          <w:rStyle w:val="14"/>
          <w:rFonts w:hint="eastAsia" w:ascii="宋体" w:hAnsi="宋体" w:cs="宋体"/>
          <w:color w:val="000000"/>
          <w:sz w:val="24"/>
          <w:szCs w:val="24"/>
        </w:rPr>
        <w:t xml:space="preserve">。 </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施工现场需要配备的试验设备：</w:t>
      </w:r>
      <w:r>
        <w:rPr>
          <w:rStyle w:val="14"/>
          <w:rFonts w:hint="eastAsia" w:ascii="宋体" w:hAnsi="宋体" w:cs="宋体"/>
          <w:color w:val="000000"/>
          <w:sz w:val="24"/>
          <w:szCs w:val="24"/>
          <w:u w:val="single"/>
        </w:rPr>
        <w:t>见试验设备表</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施工现场需要具备的其他试验条件：</w:t>
      </w:r>
      <w:r>
        <w:rPr>
          <w:rStyle w:val="14"/>
          <w:rFonts w:hint="eastAsia" w:ascii="宋体" w:hAnsi="宋体" w:cs="宋体"/>
          <w:color w:val="000000"/>
          <w:sz w:val="24"/>
          <w:szCs w:val="24"/>
          <w:u w:val="single"/>
        </w:rPr>
        <w:t>无</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 xml:space="preserve">9.2 现场工艺试验 </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现场工艺试验的有关约定：</w:t>
      </w:r>
      <w:r>
        <w:rPr>
          <w:rStyle w:val="14"/>
          <w:rFonts w:hint="eastAsia" w:ascii="宋体" w:hAnsi="宋体" w:cs="宋体"/>
          <w:color w:val="000000"/>
          <w:sz w:val="24"/>
          <w:szCs w:val="24"/>
          <w:u w:val="single"/>
        </w:rPr>
        <w:t>另行约定</w:t>
      </w:r>
      <w:r>
        <w:rPr>
          <w:rStyle w:val="14"/>
          <w:rFonts w:hint="eastAsia" w:ascii="宋体" w:hAnsi="宋体" w:cs="宋体"/>
          <w:color w:val="000000"/>
          <w:sz w:val="24"/>
          <w:szCs w:val="24"/>
        </w:rPr>
        <w:t>。</w:t>
      </w:r>
    </w:p>
    <w:bookmarkEnd w:id="354"/>
    <w:bookmarkEnd w:id="355"/>
    <w:bookmarkEnd w:id="356"/>
    <w:bookmarkEnd w:id="357"/>
    <w:bookmarkEnd w:id="358"/>
    <w:bookmarkEnd w:id="359"/>
    <w:bookmarkEnd w:id="360"/>
    <w:bookmarkEnd w:id="361"/>
    <w:p>
      <w:pPr>
        <w:pStyle w:val="20"/>
        <w:keepNext/>
        <w:keepLines/>
        <w:bidi w:val="0"/>
        <w:spacing w:line="500" w:lineRule="exact"/>
        <w:outlineLvl w:val="3"/>
        <w:rPr>
          <w:rStyle w:val="14"/>
          <w:rFonts w:ascii="宋体" w:hAnsi="宋体" w:cs="宋体"/>
          <w:b/>
          <w:bCs/>
          <w:color w:val="000000"/>
          <w:sz w:val="24"/>
          <w:szCs w:val="24"/>
        </w:rPr>
      </w:pPr>
      <w:bookmarkStart w:id="362" w:name="_Toc351203642"/>
      <w:r>
        <w:rPr>
          <w:rStyle w:val="14"/>
          <w:rFonts w:hint="eastAsia" w:ascii="宋体" w:hAnsi="宋体" w:cs="宋体"/>
          <w:b/>
          <w:bCs/>
          <w:color w:val="000000"/>
          <w:sz w:val="24"/>
          <w:szCs w:val="24"/>
        </w:rPr>
        <w:t>1</w:t>
      </w:r>
      <w:bookmarkEnd w:id="328"/>
      <w:bookmarkEnd w:id="329"/>
      <w:bookmarkEnd w:id="330"/>
      <w:bookmarkEnd w:id="331"/>
      <w:bookmarkEnd w:id="332"/>
      <w:bookmarkEnd w:id="333"/>
      <w:bookmarkEnd w:id="334"/>
      <w:bookmarkEnd w:id="335"/>
      <w:bookmarkEnd w:id="336"/>
      <w:bookmarkEnd w:id="337"/>
      <w:bookmarkEnd w:id="338"/>
      <w:bookmarkEnd w:id="339"/>
      <w:bookmarkStart w:id="363" w:name="_Toc292559903"/>
      <w:bookmarkStart w:id="364" w:name="_Toc296891021"/>
      <w:bookmarkStart w:id="365" w:name="_Toc297216199"/>
      <w:bookmarkStart w:id="366" w:name="_Toc296503193"/>
      <w:bookmarkStart w:id="367" w:name="_Toc300934989"/>
      <w:bookmarkStart w:id="368" w:name="_Toc296944532"/>
      <w:bookmarkStart w:id="369" w:name="_Toc297123540"/>
      <w:bookmarkStart w:id="370" w:name="_Toc292559398"/>
      <w:bookmarkStart w:id="371" w:name="_Toc296347192"/>
      <w:bookmarkStart w:id="372" w:name="_Toc303539146"/>
      <w:bookmarkStart w:id="373" w:name="_Toc296891233"/>
      <w:bookmarkStart w:id="374" w:name="_Toc296346694"/>
      <w:bookmarkStart w:id="375" w:name="_Toc297120493"/>
      <w:bookmarkStart w:id="376" w:name="_Toc304295566"/>
      <w:bookmarkStart w:id="377" w:name="_Toc297048379"/>
      <w:bookmarkStart w:id="378" w:name="_Toc267251441"/>
      <w:bookmarkStart w:id="379" w:name="_Toc267251435"/>
      <w:bookmarkStart w:id="380" w:name="_Toc267251433"/>
      <w:bookmarkStart w:id="381" w:name="_Toc267251440"/>
      <w:bookmarkStart w:id="382" w:name="_Toc312678025"/>
      <w:bookmarkStart w:id="383" w:name="_Toc312677499"/>
      <w:bookmarkStart w:id="384" w:name="_Toc267251437"/>
      <w:bookmarkStart w:id="385" w:name="_Toc267251439"/>
      <w:bookmarkStart w:id="386" w:name="_Toc267251442"/>
      <w:r>
        <w:rPr>
          <w:rStyle w:val="14"/>
          <w:rFonts w:hint="eastAsia" w:ascii="宋体" w:hAnsi="宋体" w:cs="宋体"/>
          <w:b/>
          <w:bCs/>
          <w:color w:val="000000"/>
          <w:sz w:val="24"/>
          <w:szCs w:val="24"/>
        </w:rPr>
        <w:t>0. 变更</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pPr>
        <w:pStyle w:val="20"/>
        <w:keepNext/>
        <w:keepLines/>
        <w:bidi w:val="0"/>
        <w:spacing w:line="500" w:lineRule="exact"/>
        <w:ind w:firstLine="360" w:firstLineChars="150"/>
        <w:outlineLvl w:val="3"/>
        <w:rPr>
          <w:rStyle w:val="14"/>
          <w:rFonts w:ascii="宋体" w:hAnsi="宋体" w:cs="宋体"/>
          <w:bCs/>
          <w:color w:val="000000"/>
          <w:sz w:val="24"/>
          <w:szCs w:val="24"/>
        </w:rPr>
      </w:pPr>
      <w:r>
        <w:rPr>
          <w:rStyle w:val="14"/>
          <w:rFonts w:hint="eastAsia" w:ascii="宋体" w:hAnsi="宋体" w:cs="宋体"/>
          <w:bCs/>
          <w:color w:val="000000"/>
          <w:sz w:val="24"/>
          <w:szCs w:val="24"/>
        </w:rPr>
        <w:t>10.1</w:t>
      </w:r>
    </w:p>
    <w:bookmarkEnd w:id="378"/>
    <w:bookmarkEnd w:id="379"/>
    <w:bookmarkEnd w:id="380"/>
    <w:bookmarkEnd w:id="381"/>
    <w:bookmarkEnd w:id="382"/>
    <w:bookmarkEnd w:id="383"/>
    <w:bookmarkEnd w:id="384"/>
    <w:bookmarkEnd w:id="385"/>
    <w:p>
      <w:pPr>
        <w:pStyle w:val="26"/>
        <w:bidi w:val="0"/>
        <w:spacing w:line="500" w:lineRule="exact"/>
        <w:ind w:firstLine="480" w:firstLineChars="200"/>
        <w:jc w:val="left"/>
        <w:rPr>
          <w:rStyle w:val="14"/>
          <w:rFonts w:ascii="宋体" w:hAnsi="宋体" w:cs="宋体"/>
          <w:color w:val="000000"/>
          <w:sz w:val="24"/>
          <w:szCs w:val="24"/>
        </w:rPr>
      </w:pPr>
      <w:bookmarkStart w:id="387" w:name="_Toc296891247"/>
      <w:bookmarkStart w:id="388" w:name="_Toc292559917"/>
      <w:bookmarkStart w:id="389" w:name="_Toc297120507"/>
      <w:bookmarkStart w:id="390" w:name="_Toc296347206"/>
      <w:bookmarkStart w:id="391" w:name="_Toc297048393"/>
      <w:bookmarkStart w:id="392" w:name="_Toc296346708"/>
      <w:bookmarkStart w:id="393" w:name="_Toc296503207"/>
      <w:bookmarkStart w:id="394" w:name="_Toc292559412"/>
      <w:bookmarkStart w:id="395" w:name="_Toc296944546"/>
      <w:bookmarkStart w:id="396" w:name="_Toc296891035"/>
      <w:r>
        <w:rPr>
          <w:rStyle w:val="14"/>
          <w:rFonts w:hint="eastAsia" w:ascii="宋体" w:hAnsi="宋体" w:cs="宋体"/>
          <w:color w:val="000000"/>
          <w:sz w:val="24"/>
          <w:szCs w:val="24"/>
        </w:rPr>
        <w:t>1、</w:t>
      </w:r>
      <w:r>
        <w:rPr>
          <w:rStyle w:val="14"/>
          <w:rFonts w:hint="eastAsia" w:ascii="宋体" w:hAnsi="宋体" w:cs="宋体"/>
          <w:color w:val="000000"/>
          <w:sz w:val="24"/>
          <w:szCs w:val="24"/>
          <w:u w:val="single"/>
        </w:rPr>
        <w:t>设计变更需有设计部门的设计变更通知单，并经发包人现场负责人签字并加盖单位公章后实施</w:t>
      </w:r>
      <w:r>
        <w:rPr>
          <w:rStyle w:val="14"/>
          <w:rFonts w:hint="eastAsia" w:ascii="宋体" w:hAnsi="宋体" w:cs="宋体"/>
          <w:color w:val="000000"/>
          <w:sz w:val="24"/>
          <w:szCs w:val="24"/>
        </w:rPr>
        <w:t>。</w:t>
      </w:r>
    </w:p>
    <w:p>
      <w:pPr>
        <w:pStyle w:val="26"/>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2、</w:t>
      </w:r>
      <w:r>
        <w:rPr>
          <w:rStyle w:val="14"/>
          <w:rFonts w:hint="eastAsia" w:ascii="宋体" w:hAnsi="宋体" w:cs="宋体"/>
          <w:color w:val="000000"/>
          <w:sz w:val="24"/>
          <w:szCs w:val="24"/>
          <w:u w:val="single"/>
        </w:rPr>
        <w:t>现场签证必须由发包人现场负责人、共同签字并加盖监理项目部章后实施</w:t>
      </w:r>
      <w:r>
        <w:rPr>
          <w:rStyle w:val="14"/>
          <w:rFonts w:hint="eastAsia" w:ascii="宋体" w:hAnsi="宋体" w:cs="宋体"/>
          <w:color w:val="000000"/>
          <w:sz w:val="24"/>
          <w:szCs w:val="24"/>
        </w:rPr>
        <w:t>。</w:t>
      </w:r>
    </w:p>
    <w:p>
      <w:pPr>
        <w:pStyle w:val="26"/>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3、</w:t>
      </w:r>
      <w:r>
        <w:rPr>
          <w:rStyle w:val="14"/>
          <w:rFonts w:hint="eastAsia" w:ascii="宋体" w:hAnsi="宋体" w:cs="宋体"/>
          <w:color w:val="000000"/>
          <w:sz w:val="24"/>
          <w:szCs w:val="24"/>
          <w:u w:val="single"/>
        </w:rPr>
        <w:t>承包人不得对原有工程设计进行变更，因承包人自身原因导致的工程变更，承包人无权要求追加合同价款的签证，并承担由此给发包人带来的一切损失</w:t>
      </w:r>
      <w:r>
        <w:rPr>
          <w:rStyle w:val="14"/>
          <w:rFonts w:hint="eastAsia" w:ascii="宋体" w:hAnsi="宋体" w:cs="宋体"/>
          <w:color w:val="000000"/>
          <w:sz w:val="24"/>
          <w:szCs w:val="24"/>
        </w:rPr>
        <w:t>。</w:t>
      </w:r>
    </w:p>
    <w:p>
      <w:pPr>
        <w:pStyle w:val="26"/>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4、</w:t>
      </w:r>
      <w:r>
        <w:rPr>
          <w:rStyle w:val="14"/>
          <w:rFonts w:hint="eastAsia" w:ascii="宋体" w:hAnsi="宋体" w:cs="宋体"/>
          <w:color w:val="000000"/>
          <w:sz w:val="24"/>
          <w:szCs w:val="24"/>
          <w:u w:val="single"/>
        </w:rPr>
        <w:t>因工程设计变更引起的工程量增减，且符合价款调整条件的，必须在7日历天内将量、价申请报告报发包人现场负责人核准，如承包人在规定时间内未提交申请报告的，视为承包人对该变更事项不存在调整价款请求，任何后补签证的请求，发包人将不再接受</w:t>
      </w:r>
      <w:r>
        <w:rPr>
          <w:rStyle w:val="14"/>
          <w:rFonts w:hint="eastAsia" w:ascii="宋体" w:hAnsi="宋体" w:cs="宋体"/>
          <w:color w:val="000000"/>
          <w:sz w:val="24"/>
          <w:szCs w:val="24"/>
        </w:rPr>
        <w:t>。</w:t>
      </w:r>
    </w:p>
    <w:p>
      <w:pPr>
        <w:pStyle w:val="20"/>
        <w:bidi w:val="0"/>
        <w:spacing w:line="500" w:lineRule="exact"/>
        <w:ind w:firstLine="600"/>
        <w:jc w:val="left"/>
        <w:rPr>
          <w:rStyle w:val="14"/>
          <w:rFonts w:ascii="宋体" w:hAnsi="宋体" w:cs="宋体"/>
          <w:color w:val="000000"/>
          <w:sz w:val="24"/>
          <w:szCs w:val="24"/>
        </w:rPr>
      </w:pPr>
      <w:r>
        <w:rPr>
          <w:rStyle w:val="14"/>
          <w:rFonts w:hint="eastAsia" w:ascii="宋体" w:hAnsi="宋体" w:cs="宋体"/>
          <w:color w:val="000000"/>
          <w:sz w:val="24"/>
          <w:szCs w:val="24"/>
        </w:rPr>
        <w:t>5、</w:t>
      </w:r>
      <w:r>
        <w:rPr>
          <w:rStyle w:val="14"/>
          <w:rFonts w:hint="eastAsia" w:ascii="宋体" w:hAnsi="宋体" w:cs="宋体"/>
          <w:color w:val="000000"/>
          <w:sz w:val="24"/>
          <w:szCs w:val="24"/>
          <w:u w:val="single"/>
        </w:rPr>
        <w:t>签证单上应明确签证的原因及工程量等相关内容，必须连续编号，无编号的签证不予结算</w:t>
      </w:r>
      <w:r>
        <w:rPr>
          <w:rStyle w:val="14"/>
          <w:rFonts w:hint="eastAsia" w:ascii="宋体" w:hAnsi="宋体" w:cs="宋体"/>
          <w:color w:val="000000"/>
          <w:sz w:val="24"/>
          <w:szCs w:val="24"/>
        </w:rPr>
        <w:t>。</w:t>
      </w:r>
    </w:p>
    <w:p>
      <w:pPr>
        <w:pStyle w:val="20"/>
        <w:bidi w:val="0"/>
        <w:spacing w:line="500" w:lineRule="exact"/>
        <w:ind w:firstLine="480" w:firstLineChars="200"/>
        <w:outlineLvl w:val="0"/>
        <w:rPr>
          <w:rStyle w:val="14"/>
          <w:rFonts w:ascii="宋体" w:hAnsi="宋体" w:cs="宋体"/>
          <w:color w:val="000000"/>
          <w:sz w:val="24"/>
          <w:szCs w:val="24"/>
        </w:rPr>
      </w:pPr>
      <w:bookmarkStart w:id="397" w:name="_Toc256000149"/>
      <w:bookmarkStart w:id="398" w:name="_Toc987"/>
      <w:bookmarkStart w:id="399" w:name="_Toc5799274"/>
      <w:bookmarkStart w:id="400" w:name="_Toc256000132"/>
      <w:bookmarkStart w:id="401" w:name="_Toc256000083"/>
      <w:r>
        <w:rPr>
          <w:rStyle w:val="14"/>
          <w:rFonts w:hint="eastAsia" w:ascii="宋体" w:hAnsi="宋体" w:cs="宋体"/>
          <w:color w:val="000000"/>
          <w:sz w:val="24"/>
          <w:szCs w:val="24"/>
        </w:rPr>
        <w:t>10.2 变更估价</w:t>
      </w:r>
      <w:bookmarkEnd w:id="397"/>
      <w:bookmarkEnd w:id="398"/>
      <w:bookmarkEnd w:id="399"/>
      <w:bookmarkEnd w:id="400"/>
      <w:bookmarkEnd w:id="401"/>
    </w:p>
    <w:p>
      <w:pPr>
        <w:pStyle w:val="26"/>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关于变更估价的约定：（1）</w:t>
      </w:r>
      <w:r>
        <w:rPr>
          <w:rStyle w:val="14"/>
          <w:rFonts w:hint="eastAsia" w:ascii="宋体" w:hAnsi="宋体" w:cs="宋体"/>
          <w:color w:val="000000"/>
          <w:sz w:val="24"/>
          <w:szCs w:val="24"/>
          <w:u w:val="single"/>
        </w:rPr>
        <w:t>已标价工程量清单或预算书有相同项目的，按照相同项目单价认定</w:t>
      </w:r>
      <w:r>
        <w:rPr>
          <w:rStyle w:val="14"/>
          <w:rFonts w:hint="eastAsia" w:ascii="宋体" w:hAnsi="宋体" w:cs="宋体"/>
          <w:color w:val="000000"/>
          <w:sz w:val="24"/>
          <w:szCs w:val="24"/>
        </w:rPr>
        <w:t>；</w:t>
      </w:r>
    </w:p>
    <w:p>
      <w:pPr>
        <w:pStyle w:val="26"/>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（2）</w:t>
      </w:r>
      <w:r>
        <w:rPr>
          <w:rStyle w:val="14"/>
          <w:rFonts w:hint="eastAsia" w:ascii="宋体" w:hAnsi="宋体" w:cs="宋体"/>
          <w:color w:val="000000"/>
          <w:sz w:val="24"/>
          <w:szCs w:val="24"/>
          <w:u w:val="single"/>
        </w:rPr>
        <w:t>已标价工程量清单或预算书中无相同项目，但有类似项目的，参照类似项目的单价认定；仅作主要材料变换的，也仅对变更后发包人方指定产品的招标价差部分进行调整后并入结算价（含相关税费）</w:t>
      </w:r>
      <w:r>
        <w:rPr>
          <w:rStyle w:val="14"/>
          <w:rFonts w:hint="eastAsia" w:ascii="宋体" w:hAnsi="宋体" w:cs="宋体"/>
          <w:color w:val="000000"/>
          <w:sz w:val="24"/>
          <w:szCs w:val="24"/>
        </w:rPr>
        <w:t>；</w:t>
      </w:r>
    </w:p>
    <w:p>
      <w:pPr>
        <w:pStyle w:val="26"/>
        <w:bidi w:val="0"/>
        <w:spacing w:line="500" w:lineRule="exact"/>
        <w:ind w:firstLine="480" w:firstLineChars="200"/>
        <w:jc w:val="left"/>
        <w:rPr>
          <w:rStyle w:val="14"/>
          <w:rFonts w:ascii="宋体" w:hAnsi="宋体" w:cs="宋体"/>
          <w:color w:val="000000"/>
          <w:sz w:val="24"/>
          <w:szCs w:val="24"/>
          <w:u w:val="single"/>
        </w:rPr>
      </w:pPr>
      <w:r>
        <w:rPr>
          <w:rStyle w:val="14"/>
          <w:rFonts w:hint="eastAsia" w:ascii="宋体" w:hAnsi="宋体" w:cs="宋体"/>
          <w:color w:val="000000"/>
          <w:sz w:val="24"/>
          <w:szCs w:val="24"/>
        </w:rPr>
        <w:t>（3）</w:t>
      </w:r>
      <w:r>
        <w:rPr>
          <w:rStyle w:val="14"/>
          <w:rFonts w:hint="eastAsia" w:ascii="宋体" w:hAnsi="宋体" w:cs="宋体"/>
          <w:color w:val="000000"/>
          <w:sz w:val="24"/>
          <w:szCs w:val="24"/>
          <w:u w:val="single"/>
        </w:rPr>
        <w:t>变更导致实际完成的变更工程量与已标价工程量清单中列明的该项目工程量的变化幅度超过 15%的：当工程量增加 15%以上时，其增加部分的工程量的综合单价应予调低；当工程量减少 15%以上时，减少后剩余部分的工程量的综合单价应予调高；调整办法参照 2013清单规范。</w:t>
      </w:r>
    </w:p>
    <w:p>
      <w:pPr>
        <w:pStyle w:val="20"/>
        <w:bidi w:val="0"/>
        <w:spacing w:line="500" w:lineRule="exact"/>
        <w:ind w:firstLine="480" w:firstLineChars="200"/>
        <w:jc w:val="left"/>
        <w:rPr>
          <w:rStyle w:val="14"/>
          <w:rFonts w:ascii="宋体" w:hAnsi="宋体" w:cs="宋体"/>
          <w:color w:val="000000"/>
          <w:sz w:val="24"/>
          <w:szCs w:val="24"/>
          <w:u w:val="single"/>
        </w:rPr>
      </w:pPr>
      <w:r>
        <w:rPr>
          <w:rStyle w:val="14"/>
          <w:rFonts w:hint="eastAsia" w:ascii="宋体" w:hAnsi="宋体" w:cs="宋体"/>
          <w:color w:val="000000"/>
          <w:sz w:val="24"/>
          <w:szCs w:val="24"/>
        </w:rPr>
        <w:t>（4）</w:t>
      </w:r>
      <w:r>
        <w:rPr>
          <w:rStyle w:val="14"/>
          <w:rFonts w:hint="eastAsia" w:ascii="宋体" w:hAnsi="宋体" w:cs="宋体"/>
          <w:color w:val="000000"/>
          <w:sz w:val="24"/>
          <w:szCs w:val="24"/>
          <w:u w:val="single"/>
        </w:rPr>
        <w:t>已标价工程量清单或预算书中无相同项目及类似项目单价的：a依据投标报价中相应的人工、材料、机械价格及费用计取标准计算组成新增项目的结算价；b对于投标报价中相关价格、标准混乱或无法鉴别的，则按编制工程招标控制价相同的标准计算新增项目的预算价，以预算价下浮后【下浮率=（1-成交价/招标控制价）×100%，不含暂估价材料、暂列金额、专业工程暂估价】确定新增项目的结算价</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w:t>
      </w:r>
      <w:bookmarkStart w:id="402" w:name="_Toc300934993"/>
      <w:bookmarkStart w:id="403" w:name="_Toc296347196"/>
      <w:bookmarkStart w:id="404" w:name="_Toc297123544"/>
      <w:bookmarkStart w:id="405" w:name="_Toc297216203"/>
      <w:bookmarkStart w:id="406" w:name="_Toc292559402"/>
      <w:bookmarkStart w:id="407" w:name="_Toc296346698"/>
      <w:bookmarkStart w:id="408" w:name="_Toc296891237"/>
      <w:bookmarkStart w:id="409" w:name="_Toc296503197"/>
      <w:bookmarkStart w:id="410" w:name="_Toc297048383"/>
      <w:bookmarkStart w:id="411" w:name="_Toc303539150"/>
      <w:bookmarkStart w:id="412" w:name="_Toc296944536"/>
      <w:bookmarkStart w:id="413" w:name="_Toc297120497"/>
      <w:bookmarkStart w:id="414" w:name="_Toc292559907"/>
      <w:bookmarkStart w:id="415" w:name="_Toc296891025"/>
      <w:bookmarkStart w:id="416" w:name="_Toc312678029"/>
      <w:bookmarkStart w:id="417" w:name="_Toc304295570"/>
      <w:bookmarkStart w:id="418" w:name="_Toc312677503"/>
      <w:r>
        <w:rPr>
          <w:rStyle w:val="14"/>
          <w:rFonts w:hint="eastAsia" w:ascii="宋体" w:hAnsi="宋体" w:cs="宋体"/>
          <w:color w:val="000000"/>
          <w:sz w:val="24"/>
          <w:szCs w:val="24"/>
        </w:rPr>
        <w:t>0.3承</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Start w:id="419" w:name="_Toc303539151"/>
      <w:bookmarkStart w:id="420" w:name="_Toc297048389"/>
      <w:bookmarkStart w:id="421" w:name="_Toc297216204"/>
      <w:bookmarkStart w:id="422" w:name="_Toc300934994"/>
      <w:bookmarkStart w:id="423" w:name="_Toc296347202"/>
      <w:bookmarkStart w:id="424" w:name="_Toc292559408"/>
      <w:bookmarkStart w:id="425" w:name="_Toc296891031"/>
      <w:bookmarkStart w:id="426" w:name="_Toc292559913"/>
      <w:bookmarkStart w:id="427" w:name="_Toc296503203"/>
      <w:bookmarkStart w:id="428" w:name="_Toc297123545"/>
      <w:bookmarkStart w:id="429" w:name="_Toc296346704"/>
      <w:bookmarkStart w:id="430" w:name="_Toc296891243"/>
      <w:bookmarkStart w:id="431" w:name="_Toc296944542"/>
      <w:bookmarkStart w:id="432" w:name="_Toc297120503"/>
      <w:r>
        <w:rPr>
          <w:rStyle w:val="14"/>
          <w:rFonts w:hint="eastAsia" w:ascii="宋体" w:hAnsi="宋体" w:cs="宋体"/>
          <w:color w:val="000000"/>
          <w:sz w:val="24"/>
          <w:szCs w:val="24"/>
        </w:rPr>
        <w:t>包人的合理化建议</w:t>
      </w:r>
    </w:p>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Pr>
        <w:pStyle w:val="27"/>
        <w:bidi w:val="0"/>
        <w:spacing w:line="500" w:lineRule="exact"/>
        <w:ind w:firstLine="480" w:firstLineChars="200"/>
        <w:rPr>
          <w:rStyle w:val="14"/>
          <w:rFonts w:ascii="宋体" w:hAnsi="宋体" w:cs="宋体"/>
          <w:color w:val="000000"/>
          <w:kern w:val="2"/>
          <w:sz w:val="24"/>
          <w:szCs w:val="24"/>
        </w:rPr>
      </w:pPr>
      <w:bookmarkStart w:id="433" w:name="_Toc297120504"/>
      <w:bookmarkStart w:id="434" w:name="_Toc296944543"/>
      <w:bookmarkStart w:id="435" w:name="_Toc297048390"/>
      <w:bookmarkStart w:id="436" w:name="_Toc312677504"/>
      <w:bookmarkStart w:id="437" w:name="_Toc296891244"/>
      <w:bookmarkStart w:id="438" w:name="_Toc297216205"/>
      <w:bookmarkStart w:id="439" w:name="_Toc296503204"/>
      <w:bookmarkStart w:id="440" w:name="_Toc297123546"/>
      <w:bookmarkStart w:id="441" w:name="_Toc296346705"/>
      <w:bookmarkStart w:id="442" w:name="_Toc304295571"/>
      <w:bookmarkStart w:id="443" w:name="_Toc292559914"/>
      <w:bookmarkStart w:id="444" w:name="_Toc312678030"/>
      <w:bookmarkStart w:id="445" w:name="_Toc296891032"/>
      <w:bookmarkStart w:id="446" w:name="_Toc300934995"/>
      <w:bookmarkStart w:id="447" w:name="_Toc303539152"/>
      <w:bookmarkStart w:id="448" w:name="_Toc318581175"/>
      <w:bookmarkStart w:id="449" w:name="_Toc296347203"/>
      <w:bookmarkStart w:id="450" w:name="_Toc292559409"/>
      <w:r>
        <w:rPr>
          <w:rStyle w:val="14"/>
          <w:rFonts w:hint="eastAsia" w:ascii="宋体" w:hAnsi="宋体" w:cs="宋体"/>
          <w:color w:val="000000"/>
          <w:kern w:val="2"/>
          <w:sz w:val="24"/>
          <w:szCs w:val="24"/>
        </w:rPr>
        <w:t>监理人审查承包人合理化建议的期限：</w:t>
      </w:r>
      <w:r>
        <w:rPr>
          <w:rStyle w:val="14"/>
          <w:rFonts w:hint="eastAsia" w:ascii="宋体" w:hAnsi="宋体" w:cs="宋体"/>
          <w:color w:val="000000"/>
          <w:kern w:val="2"/>
          <w:sz w:val="24"/>
          <w:szCs w:val="24"/>
          <w:u w:val="single"/>
        </w:rPr>
        <w:t>执行通用条款</w:t>
      </w:r>
      <w:r>
        <w:rPr>
          <w:rStyle w:val="14"/>
          <w:rFonts w:hint="eastAsia" w:ascii="宋体" w:hAnsi="宋体" w:cs="宋体"/>
          <w:color w:val="000000"/>
          <w:kern w:val="2"/>
          <w:sz w:val="24"/>
          <w:szCs w:val="24"/>
        </w:rPr>
        <w:t>。</w:t>
      </w:r>
    </w:p>
    <w:p>
      <w:pPr>
        <w:pStyle w:val="27"/>
        <w:bidi w:val="0"/>
        <w:spacing w:line="500" w:lineRule="exact"/>
        <w:ind w:firstLine="480" w:firstLineChars="200"/>
        <w:rPr>
          <w:rStyle w:val="14"/>
          <w:rFonts w:ascii="宋体" w:hAnsi="宋体" w:cs="宋体"/>
          <w:color w:val="000000"/>
          <w:kern w:val="2"/>
          <w:sz w:val="24"/>
          <w:szCs w:val="24"/>
        </w:rPr>
      </w:pPr>
      <w:r>
        <w:rPr>
          <w:rStyle w:val="14"/>
          <w:rFonts w:hint="eastAsia" w:ascii="宋体" w:hAnsi="宋体" w:cs="宋体"/>
          <w:color w:val="000000"/>
          <w:kern w:val="2"/>
          <w:sz w:val="24"/>
          <w:szCs w:val="24"/>
        </w:rPr>
        <w:t>发包人审批承包人合理化建议的期限：</w:t>
      </w:r>
      <w:r>
        <w:rPr>
          <w:rStyle w:val="14"/>
          <w:rFonts w:hint="eastAsia" w:ascii="宋体" w:hAnsi="宋体" w:cs="宋体"/>
          <w:color w:val="000000"/>
          <w:kern w:val="2"/>
          <w:sz w:val="24"/>
          <w:szCs w:val="24"/>
          <w:u w:val="single"/>
        </w:rPr>
        <w:t>执行通用条款</w:t>
      </w:r>
      <w:r>
        <w:rPr>
          <w:rStyle w:val="14"/>
          <w:rFonts w:hint="eastAsia" w:ascii="宋体" w:hAnsi="宋体" w:cs="宋体"/>
          <w:color w:val="000000"/>
          <w:kern w:val="2"/>
          <w:sz w:val="24"/>
          <w:szCs w:val="24"/>
        </w:rPr>
        <w:t>。</w:t>
      </w:r>
    </w:p>
    <w:p>
      <w:pPr>
        <w:pStyle w:val="20"/>
        <w:bidi w:val="0"/>
        <w:spacing w:line="500" w:lineRule="exact"/>
        <w:ind w:firstLine="480" w:firstLineChars="200"/>
        <w:jc w:val="left"/>
        <w:rPr>
          <w:rStyle w:val="14"/>
          <w:rFonts w:ascii="宋体" w:hAnsi="宋体" w:cs="宋体"/>
          <w:color w:val="000000"/>
          <w:sz w:val="24"/>
          <w:szCs w:val="24"/>
          <w:u w:val="single"/>
        </w:rPr>
      </w:pPr>
      <w:r>
        <w:rPr>
          <w:rStyle w:val="14"/>
          <w:rFonts w:hint="eastAsia" w:ascii="宋体" w:hAnsi="宋体" w:cs="宋体"/>
          <w:color w:val="000000"/>
          <w:sz w:val="24"/>
          <w:szCs w:val="24"/>
        </w:rPr>
        <w:t>承包人提出的合理化建议降低了合同价格或者提高了工程经济效益的奖励的方法和金额为：</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10.4暂列金额</w:t>
      </w:r>
    </w:p>
    <w:p>
      <w:pPr>
        <w:pStyle w:val="20"/>
        <w:autoSpaceDE w:val="0"/>
        <w:autoSpaceDN w:val="0"/>
        <w:bidi w:val="0"/>
        <w:adjustRightInd w:val="0"/>
        <w:spacing w:line="500" w:lineRule="exact"/>
        <w:ind w:firstLine="480" w:firstLineChars="200"/>
        <w:jc w:val="left"/>
        <w:rPr>
          <w:rStyle w:val="14"/>
          <w:rFonts w:ascii="宋体" w:hAnsi="宋体" w:cs="宋体"/>
          <w:color w:val="000000"/>
          <w:sz w:val="24"/>
          <w:szCs w:val="24"/>
          <w:u w:val="single"/>
        </w:rPr>
      </w:pPr>
      <w:r>
        <w:rPr>
          <w:rStyle w:val="14"/>
          <w:rFonts w:hint="eastAsia" w:ascii="宋体" w:hAnsi="宋体" w:cs="宋体"/>
          <w:color w:val="000000"/>
          <w:sz w:val="24"/>
          <w:szCs w:val="24"/>
        </w:rPr>
        <w:t>合同当事人关于暂列金额使用的约定：</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 xml:space="preserve">。   </w:t>
      </w:r>
      <w:bookmarkStart w:id="451" w:name="_Toc351203643"/>
    </w:p>
    <w:p>
      <w:pPr>
        <w:pStyle w:val="20"/>
        <w:autoSpaceDE w:val="0"/>
        <w:autoSpaceDN w:val="0"/>
        <w:bidi w:val="0"/>
        <w:adjustRightInd w:val="0"/>
        <w:spacing w:line="500" w:lineRule="exact"/>
        <w:ind w:firstLine="482" w:firstLineChars="200"/>
        <w:jc w:val="left"/>
        <w:rPr>
          <w:rStyle w:val="14"/>
          <w:rFonts w:ascii="宋体" w:hAnsi="宋体" w:cs="宋体"/>
          <w:color w:val="000000"/>
          <w:sz w:val="24"/>
          <w:szCs w:val="24"/>
          <w:u w:val="single"/>
        </w:rPr>
      </w:pPr>
      <w:r>
        <w:rPr>
          <w:rStyle w:val="14"/>
          <w:rFonts w:hint="eastAsia" w:ascii="宋体" w:hAnsi="宋体" w:cs="宋体"/>
          <w:b/>
          <w:color w:val="000000"/>
          <w:sz w:val="24"/>
          <w:szCs w:val="24"/>
        </w:rPr>
        <w:t>11. 价格调整</w:t>
      </w:r>
      <w:bookmarkEnd w:id="451"/>
    </w:p>
    <w:p>
      <w:pPr>
        <w:pStyle w:val="27"/>
        <w:keepNext/>
        <w:keepLines/>
        <w:bidi w:val="0"/>
        <w:spacing w:line="500" w:lineRule="exact"/>
        <w:ind w:firstLine="480" w:firstLineChars="200"/>
        <w:outlineLvl w:val="4"/>
        <w:rPr>
          <w:rStyle w:val="14"/>
          <w:rFonts w:ascii="宋体" w:hAnsi="宋体" w:cs="宋体"/>
          <w:bCs/>
          <w:color w:val="000000"/>
          <w:kern w:val="2"/>
          <w:sz w:val="24"/>
          <w:szCs w:val="24"/>
        </w:rPr>
      </w:pPr>
      <w:bookmarkStart w:id="452" w:name="_Toc292559911"/>
      <w:bookmarkStart w:id="453" w:name="_Toc297048387"/>
      <w:bookmarkStart w:id="454" w:name="_Toc296347200"/>
      <w:bookmarkStart w:id="455" w:name="_Toc297216209"/>
      <w:bookmarkStart w:id="456" w:name="_Toc296944540"/>
      <w:bookmarkStart w:id="457" w:name="_Toc296503201"/>
      <w:bookmarkStart w:id="458" w:name="_Toc297123550"/>
      <w:bookmarkStart w:id="459" w:name="_Toc303539157"/>
      <w:bookmarkStart w:id="460" w:name="_Toc296891241"/>
      <w:bookmarkStart w:id="461" w:name="_Toc296891029"/>
      <w:bookmarkStart w:id="462" w:name="_Toc296346702"/>
      <w:bookmarkStart w:id="463" w:name="_Toc300935000"/>
      <w:bookmarkStart w:id="464" w:name="_Toc312678039"/>
      <w:bookmarkStart w:id="465" w:name="_Toc292559406"/>
      <w:bookmarkStart w:id="466" w:name="_Toc297120501"/>
      <w:bookmarkStart w:id="467" w:name="_Toc304295577"/>
      <w:r>
        <w:rPr>
          <w:rStyle w:val="14"/>
          <w:rFonts w:hint="eastAsia" w:ascii="宋体" w:hAnsi="宋体" w:cs="宋体"/>
          <w:bCs/>
          <w:color w:val="000000"/>
          <w:kern w:val="2"/>
          <w:sz w:val="24"/>
          <w:szCs w:val="24"/>
        </w:rPr>
        <w:t>11.1 市场价格波动引起的调整</w:t>
      </w:r>
    </w:p>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Pr>
        <w:pStyle w:val="27"/>
        <w:bidi w:val="0"/>
        <w:spacing w:line="500" w:lineRule="exact"/>
        <w:ind w:firstLine="480" w:firstLineChars="200"/>
        <w:rPr>
          <w:rStyle w:val="14"/>
          <w:rFonts w:ascii="宋体" w:hAnsi="宋体" w:cs="宋体"/>
          <w:color w:val="000000"/>
          <w:kern w:val="2"/>
          <w:sz w:val="24"/>
          <w:szCs w:val="24"/>
        </w:rPr>
      </w:pPr>
      <w:r>
        <w:rPr>
          <w:rStyle w:val="14"/>
          <w:rFonts w:hint="eastAsia" w:ascii="宋体" w:hAnsi="宋体" w:cs="宋体"/>
          <w:color w:val="000000"/>
          <w:kern w:val="2"/>
          <w:sz w:val="24"/>
          <w:szCs w:val="24"/>
        </w:rPr>
        <w:t>市场价格波动是否调整合同价格的约定：</w:t>
      </w:r>
      <w:r>
        <w:rPr>
          <w:rStyle w:val="14"/>
          <w:rFonts w:hint="eastAsia" w:ascii="宋体" w:hAnsi="宋体" w:cs="宋体"/>
          <w:color w:val="000000"/>
          <w:kern w:val="2"/>
          <w:sz w:val="24"/>
          <w:szCs w:val="24"/>
          <w:u w:val="single"/>
        </w:rPr>
        <w:t>不调整</w:t>
      </w:r>
      <w:r>
        <w:rPr>
          <w:rStyle w:val="14"/>
          <w:rFonts w:hint="eastAsia" w:ascii="宋体" w:hAnsi="宋体" w:cs="宋体"/>
          <w:color w:val="000000"/>
          <w:kern w:val="2"/>
          <w:sz w:val="24"/>
          <w:szCs w:val="24"/>
        </w:rPr>
        <w:t>。</w:t>
      </w:r>
    </w:p>
    <w:p>
      <w:pPr>
        <w:pStyle w:val="27"/>
        <w:bidi w:val="0"/>
        <w:spacing w:line="500" w:lineRule="exact"/>
        <w:ind w:firstLine="480" w:firstLineChars="200"/>
        <w:rPr>
          <w:rStyle w:val="14"/>
          <w:rFonts w:ascii="宋体" w:hAnsi="宋体" w:cs="宋体"/>
          <w:color w:val="000000"/>
          <w:kern w:val="2"/>
          <w:sz w:val="24"/>
          <w:szCs w:val="24"/>
        </w:rPr>
      </w:pPr>
      <w:r>
        <w:rPr>
          <w:rStyle w:val="14"/>
          <w:rFonts w:hint="eastAsia" w:ascii="宋体" w:hAnsi="宋体" w:cs="宋体"/>
          <w:color w:val="000000"/>
          <w:kern w:val="2"/>
          <w:sz w:val="24"/>
          <w:szCs w:val="24"/>
        </w:rPr>
        <w:t>因市场价格波动调整合同价格，采用以下第</w:t>
      </w:r>
      <w:r>
        <w:rPr>
          <w:rStyle w:val="14"/>
          <w:rFonts w:hint="eastAsia" w:ascii="宋体" w:hAnsi="宋体" w:cs="宋体"/>
          <w:color w:val="000000"/>
          <w:kern w:val="2"/>
          <w:sz w:val="24"/>
          <w:szCs w:val="24"/>
          <w:u w:val="single"/>
        </w:rPr>
        <w:t>/</w:t>
      </w:r>
      <w:r>
        <w:rPr>
          <w:rStyle w:val="14"/>
          <w:rFonts w:hint="eastAsia" w:ascii="宋体" w:hAnsi="宋体" w:cs="宋体"/>
          <w:color w:val="000000"/>
          <w:kern w:val="2"/>
          <w:sz w:val="24"/>
          <w:szCs w:val="24"/>
        </w:rPr>
        <w:t>种方式对合同价格进行调整：</w:t>
      </w:r>
    </w:p>
    <w:p>
      <w:pPr>
        <w:pStyle w:val="27"/>
        <w:bidi w:val="0"/>
        <w:spacing w:line="500" w:lineRule="exact"/>
        <w:ind w:firstLine="480" w:firstLineChars="200"/>
        <w:rPr>
          <w:rStyle w:val="14"/>
          <w:rFonts w:ascii="宋体" w:hAnsi="宋体" w:cs="宋体"/>
          <w:color w:val="000000"/>
          <w:kern w:val="2"/>
          <w:sz w:val="24"/>
          <w:szCs w:val="24"/>
        </w:rPr>
      </w:pPr>
      <w:r>
        <w:rPr>
          <w:rStyle w:val="14"/>
          <w:rFonts w:hint="eastAsia" w:ascii="宋体" w:hAnsi="宋体" w:cs="宋体"/>
          <w:color w:val="000000"/>
          <w:kern w:val="2"/>
          <w:sz w:val="24"/>
          <w:szCs w:val="24"/>
        </w:rPr>
        <w:t>第1种方式：采用价格指数进行价格调整。</w:t>
      </w:r>
    </w:p>
    <w:p>
      <w:pPr>
        <w:pStyle w:val="27"/>
        <w:bidi w:val="0"/>
        <w:spacing w:line="500" w:lineRule="exact"/>
        <w:ind w:firstLine="480" w:firstLineChars="200"/>
        <w:rPr>
          <w:rStyle w:val="14"/>
          <w:rFonts w:ascii="宋体" w:hAnsi="宋体" w:cs="宋体"/>
          <w:color w:val="000000"/>
          <w:kern w:val="2"/>
          <w:sz w:val="24"/>
          <w:szCs w:val="24"/>
          <w:u w:val="single"/>
        </w:rPr>
      </w:pPr>
      <w:r>
        <w:rPr>
          <w:rStyle w:val="14"/>
          <w:rFonts w:hint="eastAsia" w:ascii="宋体" w:hAnsi="宋体" w:cs="宋体"/>
          <w:color w:val="000000"/>
          <w:kern w:val="2"/>
          <w:sz w:val="24"/>
          <w:szCs w:val="24"/>
        </w:rPr>
        <w:t>关于各可调因子、定值和变值权重，以及基本价格指数及其来源的约定：</w:t>
      </w:r>
      <w:r>
        <w:rPr>
          <w:rStyle w:val="14"/>
          <w:rFonts w:hint="eastAsia" w:ascii="宋体" w:hAnsi="宋体" w:cs="宋体"/>
          <w:color w:val="000000"/>
          <w:kern w:val="2"/>
          <w:sz w:val="24"/>
          <w:szCs w:val="24"/>
          <w:u w:val="single"/>
        </w:rPr>
        <w:t xml:space="preserve"> / </w:t>
      </w:r>
      <w:r>
        <w:rPr>
          <w:rStyle w:val="14"/>
          <w:rFonts w:hint="eastAsia" w:ascii="宋体" w:hAnsi="宋体" w:cs="宋体"/>
          <w:color w:val="000000"/>
          <w:kern w:val="2"/>
          <w:sz w:val="24"/>
          <w:szCs w:val="24"/>
        </w:rPr>
        <w:t xml:space="preserve">；  </w:t>
      </w:r>
    </w:p>
    <w:p>
      <w:pPr>
        <w:pStyle w:val="27"/>
        <w:bidi w:val="0"/>
        <w:spacing w:line="500" w:lineRule="exact"/>
        <w:ind w:firstLine="480" w:firstLineChars="200"/>
        <w:rPr>
          <w:rStyle w:val="14"/>
          <w:rFonts w:ascii="宋体" w:hAnsi="宋体" w:cs="宋体"/>
          <w:color w:val="000000"/>
          <w:kern w:val="2"/>
          <w:sz w:val="24"/>
          <w:szCs w:val="24"/>
        </w:rPr>
      </w:pPr>
      <w:r>
        <w:rPr>
          <w:rStyle w:val="14"/>
          <w:rFonts w:hint="eastAsia" w:ascii="宋体" w:hAnsi="宋体" w:cs="宋体"/>
          <w:color w:val="000000"/>
          <w:kern w:val="2"/>
          <w:sz w:val="24"/>
          <w:szCs w:val="24"/>
        </w:rPr>
        <w:t>第2种方式：采用造价信息进行价格调整。</w:t>
      </w:r>
    </w:p>
    <w:p>
      <w:pPr>
        <w:pStyle w:val="27"/>
        <w:bidi w:val="0"/>
        <w:spacing w:line="500" w:lineRule="exact"/>
        <w:ind w:firstLine="480" w:firstLineChars="200"/>
        <w:rPr>
          <w:rStyle w:val="14"/>
          <w:rFonts w:ascii="宋体" w:hAnsi="宋体" w:cs="宋体"/>
          <w:color w:val="000000"/>
          <w:kern w:val="2"/>
          <w:sz w:val="24"/>
          <w:szCs w:val="24"/>
        </w:rPr>
      </w:pPr>
      <w:r>
        <w:rPr>
          <w:rStyle w:val="14"/>
          <w:rFonts w:hint="eastAsia" w:ascii="宋体" w:hAnsi="宋体" w:cs="宋体"/>
          <w:color w:val="000000"/>
          <w:kern w:val="2"/>
          <w:sz w:val="24"/>
          <w:szCs w:val="24"/>
        </w:rPr>
        <w:t>关于基准价格的约定：</w:t>
      </w:r>
      <w:r>
        <w:rPr>
          <w:rStyle w:val="14"/>
          <w:rFonts w:hint="eastAsia" w:ascii="宋体" w:hAnsi="宋体" w:cs="宋体"/>
          <w:color w:val="000000"/>
          <w:kern w:val="2"/>
          <w:sz w:val="24"/>
          <w:szCs w:val="24"/>
          <w:u w:val="single"/>
        </w:rPr>
        <w:t xml:space="preserve">  /  </w:t>
      </w:r>
      <w:r>
        <w:rPr>
          <w:rStyle w:val="14"/>
          <w:rFonts w:hint="eastAsia" w:ascii="宋体" w:hAnsi="宋体" w:cs="宋体"/>
          <w:color w:val="000000"/>
          <w:kern w:val="2"/>
          <w:sz w:val="24"/>
          <w:szCs w:val="24"/>
        </w:rPr>
        <w:t>。</w:t>
      </w:r>
    </w:p>
    <w:p>
      <w:pPr>
        <w:pStyle w:val="27"/>
        <w:bidi w:val="0"/>
        <w:spacing w:line="500" w:lineRule="exact"/>
        <w:ind w:firstLine="480" w:firstLineChars="200"/>
        <w:rPr>
          <w:rStyle w:val="14"/>
          <w:rFonts w:ascii="宋体" w:hAnsi="宋体" w:cs="宋体"/>
          <w:color w:val="000000"/>
          <w:kern w:val="2"/>
          <w:sz w:val="24"/>
          <w:szCs w:val="24"/>
        </w:rPr>
      </w:pPr>
      <w:r>
        <w:rPr>
          <w:rStyle w:val="14"/>
          <w:rFonts w:hint="eastAsia" w:ascii="宋体" w:hAnsi="宋体" w:cs="宋体"/>
          <w:color w:val="000000"/>
          <w:kern w:val="2"/>
          <w:sz w:val="24"/>
          <w:szCs w:val="24"/>
        </w:rPr>
        <w:t>专用合同条款①承包人在已标价工程量清单或预算书中载明的材料单价低于基准价格的：专用合同条款合同履行期间材料单价涨幅以基准价格为基础超过</w:t>
      </w:r>
      <w:r>
        <w:rPr>
          <w:rStyle w:val="14"/>
          <w:rFonts w:hint="eastAsia" w:ascii="宋体" w:hAnsi="宋体" w:cs="宋体"/>
          <w:color w:val="000000"/>
          <w:kern w:val="2"/>
          <w:sz w:val="24"/>
          <w:szCs w:val="24"/>
          <w:u w:val="single"/>
        </w:rPr>
        <w:t xml:space="preserve"> </w:t>
      </w:r>
      <w:r>
        <w:rPr>
          <w:rStyle w:val="14"/>
          <w:rFonts w:hint="eastAsia" w:ascii="宋体" w:hAnsi="宋体" w:cs="宋体"/>
          <w:color w:val="000000"/>
          <w:kern w:val="2"/>
          <w:sz w:val="24"/>
          <w:szCs w:val="24"/>
        </w:rPr>
        <w:t>%时，或材料单价跌幅以已标价工程量清单或预算书中载明材料单价为基础超过</w:t>
      </w:r>
      <w:r>
        <w:rPr>
          <w:rStyle w:val="14"/>
          <w:rFonts w:hint="eastAsia" w:ascii="宋体" w:hAnsi="宋体" w:cs="宋体"/>
          <w:color w:val="000000"/>
          <w:kern w:val="2"/>
          <w:sz w:val="24"/>
          <w:szCs w:val="24"/>
          <w:u w:val="single"/>
        </w:rPr>
        <w:t xml:space="preserve"> </w:t>
      </w:r>
      <w:r>
        <w:rPr>
          <w:rStyle w:val="14"/>
          <w:rFonts w:hint="eastAsia" w:ascii="宋体" w:hAnsi="宋体" w:cs="宋体"/>
          <w:color w:val="000000"/>
          <w:kern w:val="2"/>
          <w:sz w:val="24"/>
          <w:szCs w:val="24"/>
        </w:rPr>
        <w:t>%时，其超过部分据实调整。</w:t>
      </w:r>
    </w:p>
    <w:p>
      <w:pPr>
        <w:pStyle w:val="27"/>
        <w:bidi w:val="0"/>
        <w:spacing w:line="500" w:lineRule="exact"/>
        <w:ind w:firstLine="480" w:firstLineChars="200"/>
        <w:rPr>
          <w:rStyle w:val="14"/>
          <w:rFonts w:ascii="宋体" w:hAnsi="宋体" w:cs="宋体"/>
          <w:color w:val="000000"/>
          <w:kern w:val="2"/>
          <w:sz w:val="24"/>
          <w:szCs w:val="24"/>
        </w:rPr>
      </w:pPr>
      <w:r>
        <w:rPr>
          <w:rStyle w:val="14"/>
          <w:rFonts w:hint="eastAsia" w:ascii="宋体" w:hAnsi="宋体" w:cs="宋体"/>
          <w:color w:val="000000"/>
          <w:kern w:val="2"/>
          <w:sz w:val="24"/>
          <w:szCs w:val="24"/>
        </w:rPr>
        <w:t>②承包人在已标价工程量清单或预算书中载明的材料单价高于基准价格的：专用合同条款合同履行期间材料单价跌幅以基准价格为基础超过</w:t>
      </w:r>
      <w:r>
        <w:rPr>
          <w:rStyle w:val="14"/>
          <w:rFonts w:hint="eastAsia" w:ascii="宋体" w:hAnsi="宋体" w:cs="宋体"/>
          <w:color w:val="000000"/>
          <w:kern w:val="2"/>
          <w:sz w:val="24"/>
          <w:szCs w:val="24"/>
          <w:u w:val="single"/>
        </w:rPr>
        <w:t xml:space="preserve">/ </w:t>
      </w:r>
      <w:r>
        <w:rPr>
          <w:rStyle w:val="14"/>
          <w:rFonts w:hint="eastAsia" w:ascii="宋体" w:hAnsi="宋体" w:cs="宋体"/>
          <w:color w:val="000000"/>
          <w:kern w:val="2"/>
          <w:sz w:val="24"/>
          <w:szCs w:val="24"/>
        </w:rPr>
        <w:t>%时，材料单价涨幅以已标价工程量清单或预算书中载明材料单价为基础超过</w:t>
      </w:r>
      <w:r>
        <w:rPr>
          <w:rStyle w:val="14"/>
          <w:rFonts w:hint="eastAsia" w:ascii="宋体" w:hAnsi="宋体" w:cs="宋体"/>
          <w:color w:val="000000"/>
          <w:kern w:val="2"/>
          <w:sz w:val="24"/>
          <w:szCs w:val="24"/>
          <w:u w:val="single"/>
        </w:rPr>
        <w:t xml:space="preserve">/ </w:t>
      </w:r>
      <w:r>
        <w:rPr>
          <w:rStyle w:val="14"/>
          <w:rFonts w:hint="eastAsia" w:ascii="宋体" w:hAnsi="宋体" w:cs="宋体"/>
          <w:color w:val="000000"/>
          <w:kern w:val="2"/>
          <w:sz w:val="24"/>
          <w:szCs w:val="24"/>
        </w:rPr>
        <w:t>%时，其超过部分据实调整。</w:t>
      </w:r>
    </w:p>
    <w:p>
      <w:pPr>
        <w:pStyle w:val="27"/>
        <w:bidi w:val="0"/>
        <w:spacing w:line="500" w:lineRule="exact"/>
        <w:ind w:firstLine="360" w:firstLineChars="150"/>
        <w:rPr>
          <w:rStyle w:val="14"/>
          <w:rFonts w:ascii="宋体" w:hAnsi="宋体" w:cs="宋体"/>
          <w:color w:val="000000"/>
          <w:kern w:val="2"/>
          <w:sz w:val="24"/>
          <w:szCs w:val="24"/>
        </w:rPr>
      </w:pPr>
      <w:r>
        <w:rPr>
          <w:rStyle w:val="14"/>
          <w:rFonts w:hint="eastAsia" w:ascii="宋体" w:hAnsi="宋体" w:cs="宋体"/>
          <w:color w:val="000000"/>
          <w:kern w:val="2"/>
          <w:sz w:val="24"/>
          <w:szCs w:val="24"/>
        </w:rPr>
        <w:t>③承包人在已标价工程量清单或预算书中载明的材料单价等于基准单价的：专用合同条款合同履行期间材料单价涨跌幅以基准单价为基础超过±</w:t>
      </w:r>
      <w:r>
        <w:rPr>
          <w:rStyle w:val="14"/>
          <w:rFonts w:hint="eastAsia" w:ascii="宋体" w:hAnsi="宋体" w:cs="宋体"/>
          <w:color w:val="000000"/>
          <w:kern w:val="2"/>
          <w:sz w:val="24"/>
          <w:szCs w:val="24"/>
          <w:u w:val="single"/>
        </w:rPr>
        <w:t xml:space="preserve">  / </w:t>
      </w:r>
      <w:r>
        <w:rPr>
          <w:rStyle w:val="14"/>
          <w:rFonts w:hint="eastAsia" w:ascii="宋体" w:hAnsi="宋体" w:cs="宋体"/>
          <w:color w:val="000000"/>
          <w:kern w:val="2"/>
          <w:sz w:val="24"/>
          <w:szCs w:val="24"/>
        </w:rPr>
        <w:t>%时，其超过部分据实调整。</w:t>
      </w:r>
    </w:p>
    <w:p>
      <w:pPr>
        <w:pStyle w:val="28"/>
        <w:bidi w:val="0"/>
        <w:spacing w:before="0" w:after="0" w:line="500" w:lineRule="exact"/>
        <w:rPr>
          <w:rStyle w:val="14"/>
          <w:rFonts w:ascii="宋体" w:hAnsi="宋体" w:eastAsia="宋体" w:cs="宋体"/>
          <w:b w:val="0"/>
          <w:color w:val="000000"/>
          <w:kern w:val="2"/>
          <w:sz w:val="24"/>
          <w:szCs w:val="24"/>
        </w:rPr>
      </w:pPr>
      <w:bookmarkStart w:id="468" w:name="_Toc296891033"/>
      <w:bookmarkStart w:id="469" w:name="_Toc296346706"/>
      <w:bookmarkStart w:id="470" w:name="_Toc296944544"/>
      <w:bookmarkStart w:id="471" w:name="_Toc297120505"/>
      <w:bookmarkStart w:id="472" w:name="_Toc296503205"/>
      <w:bookmarkStart w:id="473" w:name="_Toc296347204"/>
      <w:bookmarkStart w:id="474" w:name="_Toc296891245"/>
      <w:bookmarkStart w:id="475" w:name="_Toc292559915"/>
      <w:bookmarkStart w:id="476" w:name="_Toc297048391"/>
      <w:bookmarkStart w:id="477" w:name="_Toc292559410"/>
      <w:bookmarkStart w:id="478" w:name="_Toc351203644"/>
      <w:bookmarkStart w:id="479" w:name="_Toc297216211"/>
      <w:bookmarkStart w:id="480" w:name="_Toc297123552"/>
      <w:bookmarkStart w:id="481" w:name="_Toc304295579"/>
      <w:bookmarkStart w:id="482" w:name="_Toc312678040"/>
      <w:bookmarkStart w:id="483" w:name="_Toc300935002"/>
      <w:bookmarkStart w:id="484" w:name="_Toc303539159"/>
      <w:r>
        <w:rPr>
          <w:rStyle w:val="14"/>
          <w:rFonts w:hint="eastAsia" w:ascii="宋体" w:hAnsi="宋体" w:eastAsia="宋体" w:cs="宋体"/>
          <w:b w:val="0"/>
          <w:color w:val="000000"/>
          <w:kern w:val="2"/>
          <w:sz w:val="24"/>
          <w:szCs w:val="24"/>
        </w:rPr>
        <w:t xml:space="preserve">12. </w:t>
      </w:r>
      <w:bookmarkEnd w:id="468"/>
      <w:bookmarkEnd w:id="469"/>
      <w:bookmarkEnd w:id="470"/>
      <w:bookmarkEnd w:id="471"/>
      <w:bookmarkEnd w:id="472"/>
      <w:bookmarkEnd w:id="473"/>
      <w:bookmarkEnd w:id="474"/>
      <w:bookmarkEnd w:id="475"/>
      <w:bookmarkEnd w:id="476"/>
      <w:bookmarkEnd w:id="477"/>
      <w:r>
        <w:rPr>
          <w:rStyle w:val="14"/>
          <w:rFonts w:hint="eastAsia" w:ascii="宋体" w:hAnsi="宋体" w:eastAsia="宋体" w:cs="宋体"/>
          <w:b w:val="0"/>
          <w:color w:val="000000"/>
          <w:kern w:val="2"/>
          <w:sz w:val="24"/>
          <w:szCs w:val="24"/>
        </w:rPr>
        <w:t>合同价格、计量与支付</w:t>
      </w:r>
      <w:bookmarkEnd w:id="478"/>
    </w:p>
    <w:bookmarkEnd w:id="479"/>
    <w:bookmarkEnd w:id="480"/>
    <w:bookmarkEnd w:id="481"/>
    <w:bookmarkEnd w:id="482"/>
    <w:bookmarkEnd w:id="483"/>
    <w:bookmarkEnd w:id="484"/>
    <w:p>
      <w:pPr>
        <w:pStyle w:val="20"/>
        <w:bidi w:val="0"/>
        <w:spacing w:line="500" w:lineRule="exact"/>
        <w:ind w:firstLine="480" w:firstLineChars="200"/>
        <w:rPr>
          <w:rStyle w:val="14"/>
          <w:rFonts w:ascii="宋体" w:hAnsi="宋体" w:cs="宋体"/>
          <w:color w:val="000000"/>
          <w:sz w:val="24"/>
          <w:szCs w:val="24"/>
        </w:rPr>
      </w:pPr>
      <w:bookmarkStart w:id="485" w:name="_Toc267251461"/>
      <w:bookmarkStart w:id="486" w:name="_Toc292559411"/>
      <w:bookmarkStart w:id="487" w:name="_Toc292559916"/>
      <w:bookmarkStart w:id="488" w:name="_Toc296346707"/>
      <w:bookmarkStart w:id="489" w:name="_Toc296944545"/>
      <w:bookmarkStart w:id="490" w:name="_Toc297120506"/>
      <w:bookmarkStart w:id="491" w:name="_Toc296891034"/>
      <w:bookmarkStart w:id="492" w:name="_Toc297048392"/>
      <w:bookmarkStart w:id="493" w:name="_Toc296347205"/>
      <w:bookmarkStart w:id="494" w:name="_Toc296503206"/>
      <w:bookmarkStart w:id="495" w:name="_Toc296891246"/>
      <w:bookmarkStart w:id="496" w:name="_Toc304295580"/>
      <w:bookmarkStart w:id="497" w:name="_Toc297123553"/>
      <w:bookmarkStart w:id="498" w:name="_Toc303539160"/>
      <w:bookmarkStart w:id="499" w:name="_Toc300935003"/>
      <w:bookmarkStart w:id="500" w:name="_Toc297216212"/>
      <w:bookmarkStart w:id="501" w:name="_Toc312678041"/>
      <w:r>
        <w:rPr>
          <w:rStyle w:val="14"/>
          <w:rFonts w:hint="eastAsia" w:ascii="宋体" w:hAnsi="宋体" w:cs="宋体"/>
          <w:color w:val="000000"/>
          <w:sz w:val="24"/>
          <w:szCs w:val="24"/>
        </w:rPr>
        <w:t>12.1 合</w:t>
      </w:r>
      <w:bookmarkEnd w:id="485"/>
      <w:bookmarkEnd w:id="486"/>
      <w:bookmarkEnd w:id="487"/>
      <w:r>
        <w:rPr>
          <w:rStyle w:val="14"/>
          <w:rFonts w:hint="eastAsia" w:ascii="宋体" w:hAnsi="宋体" w:cs="宋体"/>
          <w:color w:val="000000"/>
          <w:sz w:val="24"/>
          <w:szCs w:val="24"/>
        </w:rPr>
        <w:t>同价</w:t>
      </w:r>
      <w:bookmarkEnd w:id="488"/>
      <w:bookmarkEnd w:id="489"/>
      <w:bookmarkEnd w:id="490"/>
      <w:bookmarkEnd w:id="491"/>
      <w:bookmarkEnd w:id="492"/>
      <w:bookmarkEnd w:id="493"/>
      <w:bookmarkEnd w:id="494"/>
      <w:bookmarkEnd w:id="495"/>
      <w:r>
        <w:rPr>
          <w:rStyle w:val="14"/>
          <w:rFonts w:hint="eastAsia" w:ascii="宋体" w:hAnsi="宋体" w:cs="宋体"/>
          <w:color w:val="000000"/>
          <w:sz w:val="24"/>
          <w:szCs w:val="24"/>
        </w:rPr>
        <w:t>格形式</w:t>
      </w:r>
    </w:p>
    <w:bookmarkEnd w:id="496"/>
    <w:bookmarkEnd w:id="497"/>
    <w:bookmarkEnd w:id="498"/>
    <w:bookmarkEnd w:id="499"/>
    <w:bookmarkEnd w:id="500"/>
    <w:bookmarkEnd w:id="501"/>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1、单价合同。</w:t>
      </w:r>
    </w:p>
    <w:p>
      <w:pPr>
        <w:pStyle w:val="20"/>
        <w:bidi w:val="0"/>
        <w:spacing w:line="500" w:lineRule="exact"/>
        <w:ind w:firstLine="480" w:firstLineChars="200"/>
        <w:jc w:val="left"/>
        <w:rPr>
          <w:rStyle w:val="14"/>
          <w:rFonts w:ascii="宋体" w:hAnsi="宋体" w:cs="宋体"/>
          <w:color w:val="000000"/>
          <w:sz w:val="24"/>
          <w:szCs w:val="24"/>
          <w:u w:val="single"/>
        </w:rPr>
      </w:pPr>
      <w:r>
        <w:rPr>
          <w:rStyle w:val="14"/>
          <w:rFonts w:hint="eastAsia" w:ascii="宋体" w:hAnsi="宋体" w:cs="宋体"/>
          <w:color w:val="000000"/>
          <w:sz w:val="24"/>
          <w:szCs w:val="24"/>
        </w:rPr>
        <w:t>综合单价包含的风险范围：</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jc w:val="left"/>
        <w:rPr>
          <w:rStyle w:val="14"/>
          <w:rFonts w:ascii="宋体" w:hAnsi="宋体" w:cs="宋体"/>
          <w:color w:val="000000"/>
          <w:sz w:val="24"/>
          <w:szCs w:val="24"/>
          <w:u w:val="single"/>
        </w:rPr>
      </w:pPr>
      <w:r>
        <w:rPr>
          <w:rStyle w:val="14"/>
          <w:rFonts w:hint="eastAsia" w:ascii="宋体" w:hAnsi="宋体" w:cs="宋体"/>
          <w:color w:val="000000"/>
          <w:sz w:val="24"/>
          <w:szCs w:val="24"/>
        </w:rPr>
        <w:t>风险费用的计算方法：</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风险范围以外合同价格的调整方法：（1）</w:t>
      </w:r>
      <w:r>
        <w:rPr>
          <w:rStyle w:val="14"/>
          <w:rFonts w:hint="eastAsia" w:ascii="宋体" w:hAnsi="宋体" w:cs="宋体"/>
          <w:color w:val="000000"/>
          <w:sz w:val="24"/>
          <w:szCs w:val="24"/>
          <w:u w:val="single"/>
        </w:rPr>
        <w:t>项目招标工程量清单错、漏项，结算时按实调整；国家及地方出台政策性调整文件，按调整文件执行；设计变更、发包方均认可的签证（含合同以外的零星工作或发生非承包人责任事件的工程量调整）</w:t>
      </w:r>
      <w:r>
        <w:rPr>
          <w:rStyle w:val="14"/>
          <w:rFonts w:hint="eastAsia" w:ascii="宋体" w:hAnsi="宋体" w:cs="宋体"/>
          <w:color w:val="000000"/>
          <w:sz w:val="24"/>
          <w:szCs w:val="24"/>
        </w:rPr>
        <w:t>；</w:t>
      </w:r>
    </w:p>
    <w:p>
      <w:pPr>
        <w:pStyle w:val="26"/>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（2）双方约定合同价款的其他调整因素：</w:t>
      </w:r>
    </w:p>
    <w:p>
      <w:pPr>
        <w:pStyle w:val="26"/>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A、</w:t>
      </w:r>
      <w:r>
        <w:rPr>
          <w:rStyle w:val="14"/>
          <w:rFonts w:hint="eastAsia" w:ascii="宋体" w:hAnsi="宋体" w:cs="宋体"/>
          <w:color w:val="000000"/>
          <w:sz w:val="24"/>
          <w:szCs w:val="24"/>
          <w:u w:val="single"/>
        </w:rPr>
        <w:t>由发包人签发的设计变更、现场签证、图纸会审纪要中有关牵涉到工程造价变化的部分，均按工程变更考虑</w:t>
      </w:r>
      <w:r>
        <w:rPr>
          <w:rStyle w:val="14"/>
          <w:rFonts w:hint="eastAsia" w:ascii="宋体" w:hAnsi="宋体" w:cs="宋体"/>
          <w:color w:val="000000"/>
          <w:sz w:val="24"/>
          <w:szCs w:val="24"/>
        </w:rPr>
        <w:t>。</w:t>
      </w:r>
    </w:p>
    <w:p>
      <w:pPr>
        <w:pStyle w:val="26"/>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B、</w:t>
      </w:r>
      <w:r>
        <w:rPr>
          <w:rStyle w:val="14"/>
          <w:rFonts w:hint="eastAsia" w:ascii="宋体" w:hAnsi="宋体" w:cs="宋体"/>
          <w:color w:val="000000"/>
          <w:sz w:val="24"/>
          <w:szCs w:val="24"/>
          <w:u w:val="single"/>
        </w:rPr>
        <w:t>招标图纸以外发包人委托承包人施工的其它工程内容按新增加的工程项目计算</w:t>
      </w:r>
      <w:r>
        <w:rPr>
          <w:rStyle w:val="14"/>
          <w:rFonts w:hint="eastAsia" w:ascii="宋体" w:hAnsi="宋体" w:cs="宋体"/>
          <w:color w:val="000000"/>
          <w:sz w:val="24"/>
          <w:szCs w:val="24"/>
        </w:rPr>
        <w:t>；</w:t>
      </w:r>
    </w:p>
    <w:p>
      <w:pPr>
        <w:pStyle w:val="26"/>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C、</w:t>
      </w:r>
      <w:r>
        <w:rPr>
          <w:rStyle w:val="14"/>
          <w:rFonts w:hint="eastAsia" w:ascii="宋体" w:hAnsi="宋体" w:cs="宋体"/>
          <w:color w:val="000000"/>
          <w:sz w:val="24"/>
          <w:szCs w:val="24"/>
          <w:u w:val="single"/>
        </w:rPr>
        <w:t>工程量清单、工程量清单编制说明及约定的材料暂估价项目</w:t>
      </w:r>
      <w:r>
        <w:rPr>
          <w:rStyle w:val="14"/>
          <w:rFonts w:hint="eastAsia" w:ascii="宋体" w:hAnsi="宋体" w:cs="宋体"/>
          <w:color w:val="000000"/>
          <w:sz w:val="24"/>
          <w:szCs w:val="24"/>
        </w:rPr>
        <w:t>；</w:t>
      </w:r>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D、</w:t>
      </w:r>
      <w:r>
        <w:rPr>
          <w:rStyle w:val="14"/>
          <w:rFonts w:hint="eastAsia" w:ascii="宋体" w:hAnsi="宋体" w:cs="宋体"/>
          <w:color w:val="000000"/>
          <w:sz w:val="24"/>
          <w:szCs w:val="24"/>
          <w:u w:val="single"/>
        </w:rPr>
        <w:t>符合上述要求的调整因素结算时应执行招投标期间确定的综合单价；变更、签证引起新增工程量清单项目，其相应综合单价按建设部《GB50854-2013房屋建筑与装饰工程工程量计算规范》、《江苏省建筑与装饰工程计价定额》（2014）、《江苏省安装工程计价定额》（2014）《江苏省市政工程计价定额》（2014）、《江苏省建设工程费用定额》（2014）及各级建设行政主管部门发布的有关文件及政策性规定</w:t>
      </w:r>
      <w:r>
        <w:rPr>
          <w:rStyle w:val="14"/>
          <w:rFonts w:hint="eastAsia" w:ascii="宋体" w:hAnsi="宋体" w:cs="宋体"/>
          <w:color w:val="000000"/>
          <w:sz w:val="24"/>
          <w:szCs w:val="24"/>
          <w:highlight w:val="none"/>
          <w:u w:val="single"/>
        </w:rPr>
        <w:t>下浮后【下浮率=（1-成交价/招标控制价）×100%，不含暂估价材料、暂列金额、专业工程暂估价】计算，以委托的有资质的造价咨询单位审核为准</w:t>
      </w:r>
      <w:r>
        <w:rPr>
          <w:rStyle w:val="14"/>
          <w:rFonts w:hint="eastAsia" w:ascii="宋体" w:hAnsi="宋体" w:cs="宋体"/>
          <w:color w:val="000000"/>
          <w:sz w:val="24"/>
          <w:szCs w:val="24"/>
          <w:highlight w:val="none"/>
        </w:rPr>
        <w:t>。</w:t>
      </w:r>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2、总价合同。</w:t>
      </w:r>
    </w:p>
    <w:p>
      <w:pPr>
        <w:pStyle w:val="20"/>
        <w:bidi w:val="0"/>
        <w:spacing w:line="500" w:lineRule="exact"/>
        <w:ind w:firstLine="480" w:firstLineChars="200"/>
        <w:jc w:val="left"/>
        <w:rPr>
          <w:rStyle w:val="14"/>
          <w:rFonts w:ascii="宋体" w:hAnsi="宋体" w:cs="宋体"/>
          <w:color w:val="000000"/>
          <w:sz w:val="24"/>
          <w:szCs w:val="24"/>
          <w:u w:val="single"/>
        </w:rPr>
      </w:pPr>
      <w:r>
        <w:rPr>
          <w:rStyle w:val="14"/>
          <w:rFonts w:hint="eastAsia" w:ascii="宋体" w:hAnsi="宋体" w:cs="宋体"/>
          <w:color w:val="000000"/>
          <w:sz w:val="24"/>
          <w:szCs w:val="24"/>
        </w:rPr>
        <w:t>总价包含的风险范围：</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jc w:val="left"/>
        <w:rPr>
          <w:rStyle w:val="14"/>
          <w:rFonts w:ascii="宋体" w:hAnsi="宋体" w:cs="宋体"/>
          <w:color w:val="000000"/>
          <w:sz w:val="24"/>
          <w:szCs w:val="24"/>
          <w:u w:val="single"/>
        </w:rPr>
      </w:pPr>
      <w:r>
        <w:rPr>
          <w:rStyle w:val="14"/>
          <w:rFonts w:hint="eastAsia" w:ascii="宋体" w:hAnsi="宋体" w:cs="宋体"/>
          <w:color w:val="000000"/>
          <w:sz w:val="24"/>
          <w:szCs w:val="24"/>
        </w:rPr>
        <w:t>风险费用的计算方法：</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风险范围以外合同价格的调整方法：</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3、其他价格方式：</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bookmarkStart w:id="502" w:name="_Toc304295581"/>
      <w:bookmarkStart w:id="503" w:name="_Toc300935004"/>
      <w:bookmarkStart w:id="504" w:name="_Toc303539161"/>
      <w:bookmarkStart w:id="505" w:name="_Toc297123554"/>
      <w:bookmarkStart w:id="506" w:name="_Toc312678042"/>
      <w:bookmarkStart w:id="507" w:name="_Toc297216213"/>
      <w:r>
        <w:rPr>
          <w:rStyle w:val="14"/>
          <w:rFonts w:hint="eastAsia" w:ascii="宋体" w:hAnsi="宋体" w:cs="宋体"/>
          <w:color w:val="000000"/>
          <w:sz w:val="24"/>
          <w:szCs w:val="24"/>
        </w:rPr>
        <w:t>12.2 预付款</w:t>
      </w:r>
    </w:p>
    <w:bookmarkEnd w:id="502"/>
    <w:bookmarkEnd w:id="503"/>
    <w:bookmarkEnd w:id="504"/>
    <w:bookmarkEnd w:id="505"/>
    <w:bookmarkEnd w:id="506"/>
    <w:bookmarkEnd w:id="507"/>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12.2.1 预付款的支付</w:t>
      </w:r>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预付款支付比例或金额：</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预付款支付期限：</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预付款扣回的方式：</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12.2.2 预付款担保</w:t>
      </w:r>
    </w:p>
    <w:p>
      <w:pPr>
        <w:pStyle w:val="20"/>
        <w:bidi w:val="0"/>
        <w:spacing w:line="500" w:lineRule="exact"/>
        <w:ind w:firstLine="480" w:firstLineChars="200"/>
        <w:jc w:val="left"/>
        <w:rPr>
          <w:rStyle w:val="14"/>
          <w:rFonts w:ascii="宋体" w:hAnsi="宋体" w:cs="宋体"/>
          <w:color w:val="000000"/>
          <w:sz w:val="24"/>
          <w:szCs w:val="24"/>
        </w:rPr>
      </w:pPr>
      <w:r>
        <w:rPr>
          <w:rStyle w:val="14"/>
          <w:rFonts w:hint="eastAsia" w:ascii="宋体" w:hAnsi="宋体" w:cs="宋体"/>
          <w:color w:val="000000"/>
          <w:sz w:val="24"/>
          <w:szCs w:val="24"/>
        </w:rPr>
        <w:t>承包人提交预付款担保的期限：</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预付款担保的形式为：</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bookmarkEnd w:id="387"/>
    <w:bookmarkEnd w:id="388"/>
    <w:bookmarkEnd w:id="389"/>
    <w:bookmarkEnd w:id="390"/>
    <w:bookmarkEnd w:id="391"/>
    <w:bookmarkEnd w:id="392"/>
    <w:bookmarkEnd w:id="393"/>
    <w:bookmarkEnd w:id="394"/>
    <w:bookmarkEnd w:id="395"/>
    <w:bookmarkEnd w:id="396"/>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12.3 计量</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12.3.1 计量原则</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工程量计算规则：</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12.3.2 计量周期</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关于计量周期的约定：</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12.3.3 单价合同的计量</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关于单价合同计量的约定：</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12.3.4 总价合同的计量</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关于总价合同计量的约定：</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12.3.5总价合同采用支付分解表计量支付的，是否适用第12.3.4 项〔总价合同的计量〕约定进行计量：</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12.3.6 其他价格形式合同的计量</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其他价格形式的计量方式和程序：</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12.4 工程进度款支付:</w:t>
      </w:r>
      <w:r>
        <w:rPr>
          <w:rStyle w:val="14"/>
          <w:rFonts w:hint="eastAsia" w:ascii="宋体" w:hAnsi="宋体" w:cs="宋体"/>
          <w:color w:val="FF0000"/>
          <w:kern w:val="2"/>
          <w:sz w:val="24"/>
          <w:szCs w:val="22"/>
        </w:rPr>
        <w:t xml:space="preserve"> </w:t>
      </w:r>
    </w:p>
    <w:p>
      <w:pPr>
        <w:pStyle w:val="20"/>
        <w:bidi w:val="0"/>
        <w:spacing w:line="500" w:lineRule="exact"/>
        <w:ind w:firstLine="480" w:firstLineChars="200"/>
        <w:rPr>
          <w:rStyle w:val="14"/>
          <w:rFonts w:ascii="宋体" w:hAnsi="宋体" w:cs="宋体"/>
          <w:color w:val="000000"/>
          <w:sz w:val="24"/>
          <w:szCs w:val="24"/>
        </w:rPr>
      </w:pPr>
      <w:bookmarkStart w:id="508" w:name="_Toc297120511"/>
      <w:bookmarkStart w:id="509" w:name="_Toc292559921"/>
      <w:bookmarkStart w:id="510" w:name="_Toc296503211"/>
      <w:bookmarkStart w:id="511" w:name="_Toc297123556"/>
      <w:bookmarkStart w:id="512" w:name="_Toc303539163"/>
      <w:bookmarkStart w:id="513" w:name="_Toc300935006"/>
      <w:bookmarkStart w:id="514" w:name="_Toc296347210"/>
      <w:bookmarkStart w:id="515" w:name="_Toc296891039"/>
      <w:bookmarkStart w:id="516" w:name="_Toc297048397"/>
      <w:bookmarkStart w:id="517" w:name="_Toc297216215"/>
      <w:bookmarkStart w:id="518" w:name="_Toc296944550"/>
      <w:bookmarkStart w:id="519" w:name="_Toc292559416"/>
      <w:bookmarkStart w:id="520" w:name="_Toc296346712"/>
      <w:bookmarkStart w:id="521" w:name="_Toc296891251"/>
      <w:r>
        <w:rPr>
          <w:rStyle w:val="14"/>
          <w:rFonts w:hint="eastAsia" w:ascii="宋体" w:hAnsi="宋体" w:cs="宋体"/>
          <w:color w:val="000000"/>
          <w:sz w:val="24"/>
          <w:szCs w:val="24"/>
        </w:rPr>
        <w:t>12.4.1 付款周期</w:t>
      </w:r>
    </w:p>
    <w:p>
      <w:pPr>
        <w:pStyle w:val="20"/>
        <w:bidi w:val="0"/>
        <w:spacing w:line="500" w:lineRule="exact"/>
        <w:ind w:firstLine="480" w:firstLineChars="200"/>
        <w:rPr>
          <w:rStyle w:val="14"/>
          <w:rFonts w:ascii="宋体" w:hAnsi="宋体" w:cs="宋体"/>
          <w:sz w:val="24"/>
          <w:szCs w:val="24"/>
        </w:rPr>
      </w:pPr>
      <w:r>
        <w:rPr>
          <w:rStyle w:val="14"/>
          <w:rFonts w:hint="eastAsia" w:ascii="宋体" w:hAnsi="宋体" w:cs="宋体"/>
          <w:sz w:val="24"/>
          <w:szCs w:val="24"/>
          <w:lang w:eastAsia="zh-CN"/>
        </w:rPr>
        <w:t>工程竣工验收合格后付至</w:t>
      </w:r>
      <w:r>
        <w:rPr>
          <w:rStyle w:val="14"/>
          <w:rFonts w:hint="eastAsia" w:ascii="宋体" w:hAnsi="宋体" w:cs="宋体"/>
          <w:sz w:val="24"/>
          <w:szCs w:val="24"/>
          <w:lang w:val="en-US" w:eastAsia="zh-CN"/>
        </w:rPr>
        <w:t>合同价款的</w:t>
      </w:r>
      <w:r>
        <w:rPr>
          <w:rStyle w:val="14"/>
          <w:rFonts w:hint="eastAsia" w:ascii="宋体" w:hAnsi="宋体" w:cs="宋体"/>
          <w:sz w:val="24"/>
          <w:szCs w:val="24"/>
          <w:lang w:eastAsia="zh-CN"/>
        </w:rPr>
        <w:t>70%，工程审计完成后付至审计价款的97%，待满质保期3年后一次性付清余款。</w:t>
      </w:r>
      <w:r>
        <w:rPr>
          <w:rStyle w:val="14"/>
          <w:rFonts w:hint="eastAsia" w:ascii="宋体" w:hAnsi="宋体" w:cs="宋体"/>
          <w:sz w:val="24"/>
          <w:szCs w:val="24"/>
        </w:rPr>
        <w:t xml:space="preserve">。 </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12.4.2 进度付款申请单的编制</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关于进度付款申请单编制的约定：</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14"/>
          <w:rFonts w:hint="eastAsia" w:ascii="宋体" w:hAnsi="宋体" w:cs="宋体"/>
          <w:color w:val="000000"/>
          <w:sz w:val="24"/>
          <w:szCs w:val="24"/>
        </w:rPr>
        <w:t>2.4.3 进度付款申请单的提交</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（1）单价合同进度付款申请单提交的约定：</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（2）总价合同进度付款申请单提交的约定：</w:t>
      </w:r>
      <w:r>
        <w:rPr>
          <w:rStyle w:val="14"/>
          <w:rFonts w:hint="eastAsia" w:ascii="宋体" w:hAnsi="宋体" w:cs="宋体"/>
          <w:color w:val="000000"/>
          <w:sz w:val="24"/>
          <w:szCs w:val="24"/>
          <w:u w:val="single"/>
        </w:rPr>
        <w:t xml:space="preserve">   无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（3）其他价格形式合同进度付款申请单提交的约定：</w:t>
      </w:r>
      <w:r>
        <w:rPr>
          <w:rStyle w:val="14"/>
          <w:rFonts w:hint="eastAsia" w:ascii="宋体" w:hAnsi="宋体" w:cs="宋体"/>
          <w:color w:val="000000"/>
          <w:sz w:val="24"/>
          <w:szCs w:val="24"/>
          <w:u w:val="single"/>
        </w:rPr>
        <w:t xml:space="preserve"> 无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12.4.4 进度款审核和支付</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（1）监理人审查并报送发包人的期限：</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发包人完成审批并签发进度款支付证书的期限：</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（2）发包人支付进度款的期限：</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bidi w:val="0"/>
        <w:spacing w:line="500" w:lineRule="exact"/>
        <w:ind w:firstLine="600" w:firstLineChars="250"/>
        <w:rPr>
          <w:rStyle w:val="14"/>
          <w:rFonts w:ascii="宋体" w:hAnsi="宋体" w:cs="宋体"/>
          <w:color w:val="000000"/>
          <w:sz w:val="24"/>
          <w:szCs w:val="24"/>
        </w:rPr>
      </w:pPr>
      <w:r>
        <w:rPr>
          <w:rStyle w:val="14"/>
          <w:rFonts w:hint="eastAsia" w:ascii="宋体" w:hAnsi="宋体" w:cs="宋体"/>
          <w:color w:val="000000"/>
          <w:sz w:val="24"/>
          <w:szCs w:val="24"/>
        </w:rPr>
        <w:t>发包人逾期支付进度款的违约金的计算方式：</w:t>
      </w:r>
      <w:r>
        <w:rPr>
          <w:rStyle w:val="14"/>
          <w:rFonts w:hint="eastAsia" w:ascii="宋体" w:hAnsi="宋体" w:cs="宋体"/>
          <w:color w:val="000000"/>
          <w:sz w:val="24"/>
          <w:szCs w:val="24"/>
          <w:u w:val="single"/>
        </w:rPr>
        <w:t xml:space="preserve"> 无   </w:t>
      </w:r>
      <w:r>
        <w:rPr>
          <w:rStyle w:val="14"/>
          <w:rFonts w:hint="eastAsia" w:ascii="宋体" w:hAnsi="宋体" w:cs="宋体"/>
          <w:color w:val="000000"/>
          <w:sz w:val="24"/>
          <w:szCs w:val="24"/>
        </w:rPr>
        <w:t>。</w:t>
      </w:r>
    </w:p>
    <w:p>
      <w:pPr>
        <w:pStyle w:val="20"/>
        <w:bidi w:val="0"/>
        <w:spacing w:line="500" w:lineRule="exact"/>
        <w:ind w:firstLine="600" w:firstLineChars="250"/>
        <w:rPr>
          <w:rStyle w:val="14"/>
          <w:rFonts w:ascii="宋体" w:hAnsi="宋体" w:cs="宋体"/>
          <w:color w:val="000000"/>
          <w:sz w:val="24"/>
          <w:szCs w:val="24"/>
        </w:rPr>
      </w:pPr>
      <w:r>
        <w:rPr>
          <w:rStyle w:val="14"/>
          <w:rFonts w:hint="eastAsia" w:ascii="宋体" w:hAnsi="宋体" w:cs="宋体"/>
          <w:color w:val="000000"/>
          <w:sz w:val="24"/>
          <w:szCs w:val="24"/>
        </w:rPr>
        <w:t>12.4.5 支付分解表的编制</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1、总价合同支付分解表的编制与审批：</w:t>
      </w:r>
      <w:r>
        <w:rPr>
          <w:rStyle w:val="14"/>
          <w:rFonts w:hint="eastAsia" w:ascii="宋体" w:hAnsi="宋体" w:cs="宋体"/>
          <w:color w:val="000000"/>
          <w:sz w:val="24"/>
          <w:szCs w:val="24"/>
          <w:u w:val="single"/>
        </w:rPr>
        <w:t xml:space="preserve"> 无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2、单价合同的总价项目支付分解表的编制与审批：</w:t>
      </w:r>
      <w:r>
        <w:rPr>
          <w:rStyle w:val="14"/>
          <w:rFonts w:hint="eastAsia" w:ascii="宋体" w:hAnsi="宋体" w:cs="宋体"/>
          <w:color w:val="000000"/>
          <w:sz w:val="24"/>
          <w:szCs w:val="24"/>
          <w:u w:val="single"/>
        </w:rPr>
        <w:t xml:space="preserve"> 无  </w:t>
      </w:r>
      <w:r>
        <w:rPr>
          <w:rStyle w:val="14"/>
          <w:rFonts w:hint="eastAsia" w:ascii="宋体" w:hAnsi="宋体" w:cs="宋体"/>
          <w:color w:val="000000"/>
          <w:sz w:val="24"/>
          <w:szCs w:val="24"/>
        </w:rPr>
        <w:t>。</w:t>
      </w:r>
    </w:p>
    <w:bookmarkEnd w:id="386"/>
    <w:p>
      <w:pPr>
        <w:pStyle w:val="20"/>
        <w:keepNext/>
        <w:keepLines/>
        <w:bidi w:val="0"/>
        <w:spacing w:line="500" w:lineRule="exact"/>
        <w:outlineLvl w:val="3"/>
        <w:rPr>
          <w:rStyle w:val="14"/>
          <w:rFonts w:ascii="宋体" w:hAnsi="宋体" w:cs="宋体"/>
          <w:bCs/>
          <w:color w:val="000000"/>
          <w:sz w:val="24"/>
          <w:szCs w:val="24"/>
        </w:rPr>
      </w:pPr>
      <w:bookmarkStart w:id="522" w:name="_Toc351203645"/>
      <w:bookmarkStart w:id="523" w:name="_Toc296347218"/>
      <w:bookmarkStart w:id="524" w:name="_Toc292559929"/>
      <w:bookmarkStart w:id="525" w:name="_Toc296346720"/>
      <w:bookmarkStart w:id="526" w:name="_Toc296891259"/>
      <w:bookmarkStart w:id="527" w:name="_Toc296891047"/>
      <w:bookmarkStart w:id="528" w:name="_Toc296944558"/>
      <w:bookmarkStart w:id="529" w:name="_Toc296503219"/>
      <w:bookmarkStart w:id="530" w:name="_Toc292559424"/>
      <w:bookmarkStart w:id="531" w:name="_Toc303539172"/>
      <w:bookmarkStart w:id="532" w:name="_Toc297216223"/>
      <w:bookmarkStart w:id="533" w:name="_Toc297120519"/>
      <w:bookmarkStart w:id="534" w:name="_Toc297123564"/>
      <w:bookmarkStart w:id="535" w:name="_Toc300935015"/>
      <w:bookmarkStart w:id="536" w:name="_Toc297048405"/>
      <w:bookmarkStart w:id="537" w:name="_Toc312678053"/>
      <w:bookmarkStart w:id="538" w:name="_Toc304295593"/>
      <w:r>
        <w:rPr>
          <w:rStyle w:val="14"/>
          <w:rFonts w:hint="eastAsia" w:ascii="宋体" w:hAnsi="宋体" w:cs="宋体"/>
          <w:bCs/>
          <w:color w:val="000000"/>
          <w:sz w:val="24"/>
          <w:szCs w:val="24"/>
        </w:rPr>
        <w:t>13. 验收和工程试车</w:t>
      </w:r>
      <w:bookmarkEnd w:id="522"/>
    </w:p>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13.1 分部分项工程验收</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13.1.1监理人不能按时进行验收时，应提前</w:t>
      </w:r>
      <w:r>
        <w:rPr>
          <w:rStyle w:val="14"/>
          <w:rFonts w:hint="eastAsia" w:ascii="宋体" w:hAnsi="宋体" w:cs="宋体"/>
          <w:color w:val="000000"/>
          <w:sz w:val="24"/>
          <w:szCs w:val="24"/>
          <w:u w:val="single"/>
        </w:rPr>
        <w:t xml:space="preserve"> 24</w:t>
      </w:r>
      <w:r>
        <w:rPr>
          <w:rStyle w:val="14"/>
          <w:rFonts w:hint="eastAsia" w:ascii="宋体" w:hAnsi="宋体" w:cs="宋体"/>
          <w:color w:val="000000"/>
          <w:sz w:val="24"/>
          <w:szCs w:val="24"/>
        </w:rPr>
        <w:t>小时提交书面延期要求。</w:t>
      </w:r>
    </w:p>
    <w:p>
      <w:pPr>
        <w:pStyle w:val="20"/>
        <w:bidi w:val="0"/>
        <w:spacing w:line="500" w:lineRule="exact"/>
        <w:ind w:firstLine="480" w:firstLineChars="200"/>
        <w:rPr>
          <w:rStyle w:val="14"/>
          <w:rFonts w:ascii="宋体" w:hAnsi="宋体" w:cs="宋体"/>
          <w:b/>
          <w:color w:val="000000"/>
          <w:sz w:val="24"/>
          <w:szCs w:val="24"/>
        </w:rPr>
      </w:pPr>
      <w:r>
        <w:rPr>
          <w:rStyle w:val="14"/>
          <w:rFonts w:hint="eastAsia" w:ascii="宋体" w:hAnsi="宋体" w:cs="宋体"/>
          <w:color w:val="000000"/>
          <w:sz w:val="24"/>
          <w:szCs w:val="24"/>
        </w:rPr>
        <w:t>关于延期最长不得超过：</w:t>
      </w:r>
      <w:r>
        <w:rPr>
          <w:rStyle w:val="14"/>
          <w:rFonts w:hint="eastAsia" w:ascii="宋体" w:hAnsi="宋体" w:cs="宋体"/>
          <w:color w:val="000000"/>
          <w:sz w:val="24"/>
          <w:szCs w:val="24"/>
          <w:u w:val="single"/>
        </w:rPr>
        <w:t xml:space="preserve"> 48</w:t>
      </w:r>
      <w:r>
        <w:rPr>
          <w:rStyle w:val="14"/>
          <w:rFonts w:hint="eastAsia" w:ascii="宋体" w:hAnsi="宋体" w:cs="宋体"/>
          <w:color w:val="000000"/>
          <w:sz w:val="24"/>
          <w:szCs w:val="24"/>
        </w:rPr>
        <w:t>小时。</w:t>
      </w:r>
    </w:p>
    <w:p>
      <w:pPr>
        <w:pStyle w:val="20"/>
        <w:keepNext/>
        <w:keepLines/>
        <w:bidi w:val="0"/>
        <w:spacing w:line="500" w:lineRule="exact"/>
        <w:ind w:firstLine="480" w:firstLineChars="200"/>
        <w:outlineLvl w:val="4"/>
        <w:rPr>
          <w:rStyle w:val="14"/>
          <w:rFonts w:ascii="宋体" w:hAnsi="宋体" w:cs="宋体"/>
          <w:bCs/>
          <w:color w:val="000000"/>
          <w:sz w:val="24"/>
          <w:szCs w:val="24"/>
        </w:rPr>
      </w:pPr>
      <w:bookmarkStart w:id="539" w:name="_Toc312678056"/>
      <w:bookmarkStart w:id="540" w:name="_Toc297123565"/>
      <w:bookmarkStart w:id="541" w:name="_Toc296347222"/>
      <w:bookmarkStart w:id="542" w:name="_Toc296503223"/>
      <w:bookmarkStart w:id="543" w:name="_Toc296944562"/>
      <w:bookmarkStart w:id="544" w:name="_Toc303539173"/>
      <w:bookmarkStart w:id="545" w:name="_Toc296346724"/>
      <w:bookmarkStart w:id="546" w:name="_Toc292559933"/>
      <w:bookmarkStart w:id="547" w:name="_Toc296891263"/>
      <w:bookmarkStart w:id="548" w:name="_Toc292559428"/>
      <w:bookmarkStart w:id="549" w:name="_Toc296891051"/>
      <w:bookmarkStart w:id="550" w:name="_Toc297216224"/>
      <w:bookmarkStart w:id="551" w:name="_Toc297048409"/>
      <w:bookmarkStart w:id="552" w:name="_Toc297120523"/>
      <w:bookmarkStart w:id="553" w:name="_Toc304295596"/>
      <w:bookmarkStart w:id="554" w:name="_Toc300935016"/>
      <w:bookmarkStart w:id="555" w:name="_Toc267251471"/>
      <w:bookmarkStart w:id="556" w:name="_Toc267251474"/>
      <w:bookmarkStart w:id="557" w:name="_Toc267251472"/>
      <w:bookmarkStart w:id="558" w:name="_Toc267251473"/>
      <w:bookmarkStart w:id="559" w:name="_Toc267251475"/>
      <w:bookmarkStart w:id="560" w:name="_Toc267251470"/>
      <w:bookmarkStart w:id="561" w:name="_Toc267251476"/>
      <w:r>
        <w:rPr>
          <w:rStyle w:val="14"/>
          <w:rFonts w:hint="eastAsia" w:ascii="宋体" w:hAnsi="宋体" w:cs="宋体"/>
          <w:bCs/>
          <w:color w:val="000000"/>
          <w:sz w:val="24"/>
          <w:szCs w:val="24"/>
        </w:rPr>
        <w:t>13.2 竣工验收</w:t>
      </w:r>
    </w:p>
    <w:p>
      <w:pPr>
        <w:pStyle w:val="25"/>
        <w:widowControl/>
        <w:bidi w:val="0"/>
        <w:snapToGrid w:val="0"/>
        <w:spacing w:line="500" w:lineRule="exact"/>
        <w:ind w:firstLine="420"/>
        <w:jc w:val="left"/>
        <w:rPr>
          <w:rStyle w:val="14"/>
          <w:rFonts w:ascii="宋体" w:hAnsi="宋体" w:cs="宋体"/>
          <w:bCs/>
          <w:color w:val="000000"/>
          <w:sz w:val="24"/>
          <w:u w:val="single"/>
        </w:rPr>
      </w:pPr>
      <w:r>
        <w:rPr>
          <w:rStyle w:val="14"/>
          <w:rFonts w:hint="eastAsia" w:ascii="宋体" w:hAnsi="宋体" w:cs="宋体"/>
          <w:color w:val="000000"/>
          <w:sz w:val="24"/>
          <w:u w:val="single"/>
        </w:rPr>
        <w:t>提供竣工图的约定：承包人应在工程竣工后一个月内提供四套完整的竣工图和竣工结算资料，否则每延迟一天向发包人支付合同价款万分之十的违约金，少还一套竣工图纸向发包人支付4万元违约金。</w:t>
      </w:r>
    </w:p>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Pr>
        <w:pStyle w:val="20"/>
        <w:bidi w:val="0"/>
        <w:spacing w:line="500" w:lineRule="exact"/>
        <w:ind w:firstLine="480" w:firstLineChars="200"/>
        <w:rPr>
          <w:rStyle w:val="14"/>
          <w:rFonts w:ascii="宋体" w:hAnsi="宋体" w:cs="宋体"/>
          <w:color w:val="000000"/>
          <w:sz w:val="24"/>
          <w:szCs w:val="24"/>
        </w:rPr>
      </w:pPr>
      <w:bookmarkStart w:id="562" w:name="_Toc280868704"/>
      <w:bookmarkStart w:id="563" w:name="_Toc280868705"/>
      <w:bookmarkStart w:id="564" w:name="_Toc280868706"/>
      <w:bookmarkStart w:id="565" w:name="_Toc280868707"/>
      <w:bookmarkStart w:id="566" w:name="_Toc280868708"/>
      <w:bookmarkStart w:id="567" w:name="_Toc280868709"/>
      <w:r>
        <w:rPr>
          <w:rStyle w:val="14"/>
          <w:rFonts w:hint="eastAsia" w:ascii="宋体" w:hAnsi="宋体" w:cs="宋体"/>
          <w:color w:val="000000"/>
          <w:sz w:val="24"/>
          <w:szCs w:val="24"/>
        </w:rPr>
        <w:t>13.2.1竣工验收程序</w:t>
      </w:r>
    </w:p>
    <w:bookmarkEnd w:id="562"/>
    <w:p>
      <w:pPr>
        <w:pStyle w:val="20"/>
        <w:bidi w:val="0"/>
        <w:spacing w:line="500" w:lineRule="exact"/>
        <w:ind w:firstLine="480" w:firstLineChars="200"/>
        <w:rPr>
          <w:rStyle w:val="14"/>
          <w:rFonts w:ascii="宋体" w:hAnsi="宋体" w:cs="宋体"/>
          <w:b/>
          <w:bCs/>
          <w:color w:val="000000"/>
          <w:sz w:val="24"/>
          <w:szCs w:val="24"/>
          <w:u w:val="single"/>
        </w:rPr>
      </w:pPr>
      <w:r>
        <w:rPr>
          <w:rStyle w:val="14"/>
          <w:rFonts w:hint="eastAsia" w:ascii="宋体" w:hAnsi="宋体" w:cs="宋体"/>
          <w:color w:val="000000"/>
          <w:sz w:val="24"/>
          <w:szCs w:val="24"/>
        </w:rPr>
        <w:t>关于竣工验收程序的约定：</w:t>
      </w:r>
      <w:r>
        <w:rPr>
          <w:rStyle w:val="14"/>
          <w:rFonts w:hint="eastAsia" w:ascii="宋体" w:hAnsi="宋体" w:cs="宋体"/>
          <w:color w:val="000000"/>
          <w:sz w:val="24"/>
          <w:szCs w:val="24"/>
          <w:u w:val="single"/>
        </w:rPr>
        <w:t xml:space="preserve">/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发包人不按照本项约定组织竣工验收、颁发工程接收证书的违约金的计算方法：</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bookmarkEnd w:id="563"/>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13.2.2移交、接收全部与部分工程</w:t>
      </w:r>
    </w:p>
    <w:bookmarkEnd w:id="564"/>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承包人向发包人移交工程的期限：</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发包人未按本合同约定接收全部或部分工程的，违约金的计算方法为：</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bookmarkEnd w:id="565"/>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承包人未按时移交工程的，违约金的计算方法为：</w:t>
      </w:r>
      <w:r>
        <w:rPr>
          <w:rStyle w:val="14"/>
          <w:rFonts w:hint="eastAsia" w:ascii="宋体" w:hAnsi="宋体" w:cs="宋体"/>
          <w:color w:val="000000"/>
          <w:sz w:val="24"/>
          <w:szCs w:val="24"/>
          <w:u w:val="single"/>
        </w:rPr>
        <w:t>详见专用条款16.2.2.26条</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13.3 工程试车</w:t>
      </w:r>
    </w:p>
    <w:bookmarkEnd w:id="566"/>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13.3.1 试车程序</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工程试车内容：</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（1）单机无负荷试车费用由</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承担；</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（2）无负荷联动试车费用由</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承担。</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13.3.2 投料试车</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关于投料试车相关事项的约定：</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13.4 竣工退场</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13.4.1 竣工退场</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承包人完成竣工退场的期限：</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keepNext/>
        <w:keepLines/>
        <w:bidi w:val="0"/>
        <w:spacing w:line="500" w:lineRule="exact"/>
        <w:outlineLvl w:val="3"/>
        <w:rPr>
          <w:rStyle w:val="14"/>
          <w:rFonts w:ascii="宋体" w:hAnsi="宋体" w:cs="宋体"/>
          <w:bCs/>
          <w:color w:val="000000"/>
          <w:sz w:val="24"/>
          <w:szCs w:val="24"/>
        </w:rPr>
      </w:pPr>
      <w:bookmarkStart w:id="568" w:name="_Toc351203646"/>
      <w:r>
        <w:rPr>
          <w:rStyle w:val="14"/>
          <w:rFonts w:hint="eastAsia" w:ascii="宋体" w:hAnsi="宋体" w:cs="宋体"/>
          <w:bCs/>
          <w:color w:val="000000"/>
          <w:sz w:val="24"/>
          <w:szCs w:val="24"/>
        </w:rPr>
        <w:t>14. 竣工结算</w:t>
      </w:r>
      <w:bookmarkEnd w:id="568"/>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14.1 竣工结算申请</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承包人提交竣工结算申请单的期限：</w:t>
      </w:r>
      <w:r>
        <w:rPr>
          <w:rStyle w:val="14"/>
          <w:rFonts w:hint="eastAsia" w:ascii="宋体" w:hAnsi="宋体" w:cs="宋体"/>
          <w:color w:val="000000"/>
          <w:sz w:val="24"/>
          <w:szCs w:val="24"/>
          <w:u w:val="single"/>
        </w:rPr>
        <w:t xml:space="preserve">承包人在工程竣工验收合格一月内向发包人递交竣工结算报告及完整的结算资料，并提供需要提供的其他资料，同时必须提供工程量计算的底稿、完整的变更签证等相关的结算资料。 </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竣工付款申请单应包括的内容：</w:t>
      </w:r>
      <w:r>
        <w:rPr>
          <w:rStyle w:val="14"/>
          <w:rFonts w:hint="eastAsia" w:ascii="宋体" w:hAnsi="宋体" w:cs="宋体"/>
          <w:color w:val="000000"/>
          <w:sz w:val="24"/>
          <w:szCs w:val="24"/>
          <w:u w:val="single"/>
        </w:rPr>
        <w:t>（1）工程合同价格；（2）发包人已支付承包人的款项；（3）应扣留的质量保证金</w:t>
      </w:r>
      <w:r>
        <w:rPr>
          <w:rStyle w:val="14"/>
          <w:rFonts w:ascii="宋体" w:hAnsi="宋体" w:cs="宋体"/>
          <w:color w:val="000000"/>
          <w:sz w:val="24"/>
          <w:szCs w:val="24"/>
          <w:u w:val="single"/>
        </w:rPr>
        <w:t>（</w:t>
      </w:r>
      <w:r>
        <w:rPr>
          <w:rStyle w:val="14"/>
          <w:rFonts w:hint="eastAsia" w:ascii="宋体" w:hAnsi="宋体" w:cs="宋体"/>
          <w:sz w:val="24"/>
          <w:szCs w:val="24"/>
          <w:u w:val="single"/>
        </w:rPr>
        <w:t>合同价款的</w:t>
      </w:r>
      <w:r>
        <w:rPr>
          <w:rStyle w:val="14"/>
          <w:rFonts w:ascii="宋体" w:hAnsi="宋体" w:cs="宋体"/>
          <w:sz w:val="24"/>
          <w:szCs w:val="24"/>
          <w:u w:val="single"/>
        </w:rPr>
        <w:t>3</w:t>
      </w:r>
      <w:r>
        <w:rPr>
          <w:rStyle w:val="14"/>
          <w:rFonts w:hint="eastAsia" w:ascii="宋体" w:hAnsi="宋体" w:cs="宋体"/>
          <w:sz w:val="24"/>
          <w:szCs w:val="24"/>
          <w:u w:val="single"/>
        </w:rPr>
        <w:t>%</w:t>
      </w:r>
      <w:r>
        <w:rPr>
          <w:rStyle w:val="14"/>
          <w:rFonts w:ascii="宋体" w:hAnsi="宋体" w:cs="宋体"/>
          <w:color w:val="000000"/>
          <w:sz w:val="24"/>
          <w:szCs w:val="24"/>
          <w:u w:val="single"/>
        </w:rPr>
        <w:t>）</w:t>
      </w:r>
      <w:r>
        <w:rPr>
          <w:rStyle w:val="14"/>
          <w:rFonts w:hint="eastAsia" w:ascii="宋体" w:hAnsi="宋体" w:cs="宋体"/>
          <w:color w:val="000000"/>
          <w:sz w:val="24"/>
          <w:szCs w:val="24"/>
          <w:u w:val="single"/>
        </w:rPr>
        <w:t>；（4）发包人应支付承包人的合同价款。</w:t>
      </w:r>
    </w:p>
    <w:p>
      <w:pPr>
        <w:pStyle w:val="20"/>
        <w:bidi w:val="0"/>
        <w:spacing w:line="500" w:lineRule="exact"/>
        <w:ind w:firstLine="480" w:firstLineChars="200"/>
        <w:rPr>
          <w:rStyle w:val="14"/>
          <w:rFonts w:ascii="宋体" w:hAnsi="宋体" w:cs="宋体"/>
          <w:bCs/>
          <w:color w:val="000000"/>
          <w:sz w:val="24"/>
          <w:szCs w:val="24"/>
        </w:rPr>
      </w:pPr>
      <w:r>
        <w:rPr>
          <w:rStyle w:val="14"/>
          <w:rFonts w:hint="eastAsia" w:ascii="宋体" w:hAnsi="宋体" w:cs="宋体"/>
          <w:bCs/>
          <w:color w:val="000000"/>
          <w:sz w:val="24"/>
          <w:szCs w:val="24"/>
        </w:rPr>
        <w:t>14.2 竣工结算审核</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发包人审批竣工付款申请单的期限：</w:t>
      </w:r>
      <w:r>
        <w:rPr>
          <w:rStyle w:val="14"/>
          <w:rFonts w:hint="eastAsia" w:ascii="宋体" w:hAnsi="宋体" w:cs="宋体"/>
          <w:color w:val="000000"/>
          <w:sz w:val="24"/>
          <w:szCs w:val="24"/>
          <w:u w:val="single"/>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发包人完成竣工付款的期限：</w:t>
      </w:r>
      <w:r>
        <w:rPr>
          <w:rStyle w:val="14"/>
          <w:rFonts w:hint="eastAsia" w:ascii="宋体" w:hAnsi="宋体" w:cs="宋体"/>
          <w:color w:val="000000"/>
          <w:sz w:val="24"/>
          <w:szCs w:val="24"/>
          <w:u w:val="single"/>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关于竣工付款证书异议部分复核的方式和程序：</w:t>
      </w:r>
      <w:r>
        <w:rPr>
          <w:rStyle w:val="14"/>
          <w:rFonts w:hint="eastAsia" w:ascii="宋体" w:hAnsi="宋体" w:cs="宋体"/>
          <w:color w:val="000000"/>
          <w:sz w:val="24"/>
          <w:szCs w:val="24"/>
          <w:u w:val="single"/>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14.3 最终结清</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14.3.1 最终结清申请单</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承包人提交最终结清申请单的份数：</w:t>
      </w:r>
      <w:r>
        <w:rPr>
          <w:rStyle w:val="14"/>
          <w:rFonts w:hint="eastAsia" w:ascii="宋体" w:hAnsi="宋体" w:cs="宋体"/>
          <w:color w:val="000000"/>
          <w:sz w:val="24"/>
          <w:szCs w:val="24"/>
          <w:u w:val="single"/>
        </w:rPr>
        <w:t>一式五份</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承包人提交最终结算申请单的期限：</w:t>
      </w:r>
      <w:r>
        <w:rPr>
          <w:rStyle w:val="14"/>
          <w:rFonts w:hint="eastAsia" w:ascii="宋体" w:hAnsi="宋体" w:cs="宋体"/>
          <w:color w:val="000000"/>
          <w:sz w:val="24"/>
          <w:szCs w:val="24"/>
          <w:u w:val="single"/>
        </w:rPr>
        <w:t>承包人应在缺陷责任期终止证书颁发后7天内，按专用合同条款约定的份数向发包人提交最终结清申请单，并提供相关证明材料。</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工程量的确认：承包人向工程师提交已完工程量报告的时间：</w:t>
      </w:r>
      <w:r>
        <w:rPr>
          <w:rStyle w:val="14"/>
          <w:rFonts w:hint="eastAsia" w:ascii="宋体" w:hAnsi="宋体" w:cs="宋体"/>
          <w:color w:val="000000"/>
          <w:sz w:val="24"/>
          <w:szCs w:val="24"/>
          <w:u w:val="single"/>
        </w:rPr>
        <w:t>每周将当周完成的工程量送发包人和监理，其余按通用条款执行。</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14.3.2 最终结清证书和支付</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（1）发包人完成最终结清申请单的审批并颁发最终结清证书的期限：</w:t>
      </w:r>
      <w:r>
        <w:rPr>
          <w:rStyle w:val="14"/>
          <w:rFonts w:hint="eastAsia" w:ascii="宋体" w:hAnsi="宋体" w:cs="宋体"/>
          <w:color w:val="000000"/>
          <w:sz w:val="24"/>
          <w:szCs w:val="24"/>
          <w:u w:val="single"/>
        </w:rPr>
        <w:t>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（2）发包人完成支付的期限：</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bookmarkEnd w:id="555"/>
    <w:bookmarkEnd w:id="556"/>
    <w:bookmarkEnd w:id="557"/>
    <w:bookmarkEnd w:id="558"/>
    <w:bookmarkEnd w:id="559"/>
    <w:bookmarkEnd w:id="560"/>
    <w:bookmarkEnd w:id="561"/>
    <w:bookmarkEnd w:id="567"/>
    <w:p>
      <w:pPr>
        <w:pStyle w:val="20"/>
        <w:keepNext/>
        <w:keepLines/>
        <w:bidi w:val="0"/>
        <w:spacing w:line="500" w:lineRule="exact"/>
        <w:outlineLvl w:val="3"/>
        <w:rPr>
          <w:rStyle w:val="14"/>
          <w:rFonts w:ascii="宋体" w:hAnsi="宋体" w:cs="宋体"/>
          <w:bCs/>
          <w:color w:val="000000"/>
          <w:sz w:val="24"/>
          <w:szCs w:val="24"/>
        </w:rPr>
      </w:pPr>
      <w:bookmarkStart w:id="569" w:name="_Toc351203647"/>
      <w:bookmarkStart w:id="570" w:name="_Toc267251483"/>
      <w:bookmarkStart w:id="571" w:name="_Toc267251484"/>
      <w:bookmarkStart w:id="572" w:name="_Toc267251482"/>
      <w:bookmarkStart w:id="573" w:name="_Toc267251485"/>
      <w:bookmarkStart w:id="574" w:name="_Toc267251490"/>
      <w:bookmarkStart w:id="575" w:name="_Toc267251489"/>
      <w:bookmarkStart w:id="576" w:name="_Toc267251486"/>
      <w:bookmarkStart w:id="577" w:name="_Toc267251488"/>
      <w:bookmarkStart w:id="578" w:name="_Toc267251493"/>
      <w:bookmarkStart w:id="579" w:name="_Toc267251498"/>
      <w:bookmarkStart w:id="580" w:name="_Toc267251499"/>
      <w:bookmarkStart w:id="581" w:name="_Toc267251496"/>
      <w:bookmarkStart w:id="582" w:name="_Toc267251497"/>
      <w:bookmarkStart w:id="583" w:name="_Toc267251492"/>
      <w:bookmarkStart w:id="584" w:name="_Toc267251503"/>
      <w:bookmarkStart w:id="585" w:name="_Toc267251501"/>
      <w:bookmarkStart w:id="586" w:name="_Toc267251502"/>
      <w:bookmarkStart w:id="587" w:name="_Toc267251494"/>
      <w:bookmarkStart w:id="588" w:name="_Toc267251495"/>
      <w:bookmarkStart w:id="589" w:name="_Toc267251491"/>
      <w:bookmarkStart w:id="590" w:name="_Toc267251504"/>
      <w:bookmarkStart w:id="591" w:name="_Toc267251506"/>
      <w:bookmarkStart w:id="592" w:name="_Toc267251507"/>
      <w:bookmarkStart w:id="593" w:name="_Toc267251508"/>
      <w:bookmarkStart w:id="594" w:name="_Toc267251514"/>
      <w:bookmarkStart w:id="595" w:name="_Toc267251513"/>
      <w:bookmarkStart w:id="596" w:name="_Toc267251515"/>
      <w:bookmarkStart w:id="597" w:name="_Toc267251509"/>
      <w:bookmarkStart w:id="598" w:name="_Toc267251510"/>
      <w:bookmarkStart w:id="599" w:name="_Toc267251511"/>
      <w:r>
        <w:rPr>
          <w:rStyle w:val="14"/>
          <w:rFonts w:hint="eastAsia" w:ascii="宋体" w:hAnsi="宋体" w:cs="宋体"/>
          <w:bCs/>
          <w:color w:val="000000"/>
          <w:sz w:val="24"/>
          <w:szCs w:val="24"/>
        </w:rPr>
        <w:t>15. 缺陷责任期与保修</w:t>
      </w:r>
      <w:bookmarkEnd w:id="569"/>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15.1缺陷责任期</w:t>
      </w:r>
      <w:bookmarkEnd w:id="570"/>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缺陷责任期的具体期限：</w:t>
      </w:r>
      <w:r>
        <w:rPr>
          <w:rStyle w:val="14"/>
          <w:rFonts w:hint="eastAsia" w:ascii="宋体" w:hAnsi="宋体" w:cs="宋体"/>
          <w:color w:val="000000"/>
          <w:sz w:val="24"/>
          <w:szCs w:val="24"/>
          <w:u w:val="single"/>
        </w:rPr>
        <w:t>见工程质量保修书</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15.2 质量保证金</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关于是否扣留质量保证金的约定：</w:t>
      </w:r>
      <w:r>
        <w:rPr>
          <w:rStyle w:val="14"/>
          <w:rFonts w:hint="eastAsia" w:ascii="宋体" w:hAnsi="宋体" w:cs="宋体"/>
          <w:color w:val="000000"/>
          <w:sz w:val="24"/>
          <w:szCs w:val="24"/>
          <w:u w:val="single"/>
        </w:rPr>
        <w:t xml:space="preserve">扣留合同总价款的3%作为质量保证金  </w:t>
      </w:r>
      <w:r>
        <w:rPr>
          <w:rStyle w:val="14"/>
          <w:rFonts w:hint="eastAsia" w:ascii="宋体" w:hAnsi="宋体" w:cs="宋体"/>
          <w:color w:val="000000"/>
          <w:sz w:val="24"/>
          <w:szCs w:val="24"/>
        </w:rPr>
        <w:t>。在工程项目竣工前，承包人按专用合同条款第3.</w:t>
      </w:r>
      <w:r>
        <w:rPr>
          <w:rStyle w:val="14"/>
          <w:rFonts w:ascii="宋体" w:hAnsi="宋体" w:cs="宋体"/>
          <w:color w:val="000000"/>
          <w:sz w:val="24"/>
          <w:szCs w:val="24"/>
        </w:rPr>
        <w:t>6</w:t>
      </w:r>
      <w:r>
        <w:rPr>
          <w:rStyle w:val="14"/>
          <w:rFonts w:hint="eastAsia" w:ascii="宋体" w:hAnsi="宋体" w:cs="宋体"/>
          <w:color w:val="000000"/>
          <w:sz w:val="24"/>
          <w:szCs w:val="24"/>
        </w:rPr>
        <w:t>条提供履约担保的，发包人不得同时预留工程质量保证金。</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15.2.1 承包人提供质量保证金的方式</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质量保证金采用以下第</w:t>
      </w:r>
      <w:r>
        <w:rPr>
          <w:rStyle w:val="14"/>
          <w:rFonts w:hint="eastAsia" w:ascii="宋体" w:hAnsi="宋体" w:cs="宋体"/>
          <w:color w:val="000000"/>
          <w:sz w:val="24"/>
          <w:u w:val="single"/>
        </w:rPr>
        <w:t>/</w:t>
      </w:r>
      <w:r>
        <w:rPr>
          <w:rStyle w:val="14"/>
          <w:rFonts w:hint="eastAsia" w:ascii="宋体" w:hAnsi="宋体" w:cs="宋体"/>
          <w:color w:val="000000"/>
          <w:sz w:val="24"/>
        </w:rPr>
        <w:t xml:space="preserve"> 种方式：</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（1）质量保证金保函，保证金额为：</w:t>
      </w:r>
      <w:r>
        <w:rPr>
          <w:rStyle w:val="14"/>
          <w:rFonts w:hint="eastAsia" w:ascii="宋体" w:hAnsi="宋体" w:cs="宋体"/>
          <w:color w:val="000000"/>
          <w:sz w:val="24"/>
          <w:u w:val="single"/>
        </w:rPr>
        <w:t xml:space="preserve">/ </w:t>
      </w:r>
      <w:r>
        <w:rPr>
          <w:rStyle w:val="14"/>
          <w:rFonts w:hint="eastAsia" w:ascii="宋体" w:hAnsi="宋体" w:cs="宋体"/>
          <w:color w:val="000000"/>
          <w:sz w:val="24"/>
        </w:rPr>
        <w:t xml:space="preserve">； </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（2）</w:t>
      </w:r>
      <w:r>
        <w:rPr>
          <w:rStyle w:val="14"/>
          <w:rFonts w:hint="eastAsia" w:ascii="宋体" w:hAnsi="宋体" w:cs="宋体"/>
          <w:color w:val="000000"/>
          <w:sz w:val="24"/>
          <w:u w:val="single"/>
        </w:rPr>
        <w:t xml:space="preserve">/ </w:t>
      </w:r>
      <w:r>
        <w:rPr>
          <w:rStyle w:val="14"/>
          <w:rFonts w:hint="eastAsia" w:ascii="宋体" w:hAnsi="宋体" w:cs="宋体"/>
          <w:color w:val="000000"/>
          <w:sz w:val="24"/>
        </w:rPr>
        <w:t>%的工程款；</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（3）其他方式:</w:t>
      </w:r>
      <w:r>
        <w:rPr>
          <w:rStyle w:val="14"/>
          <w:rFonts w:hint="eastAsia" w:ascii="宋体" w:hAnsi="宋体" w:cs="宋体"/>
          <w:color w:val="000000"/>
          <w:sz w:val="24"/>
          <w:u w:val="single"/>
        </w:rPr>
        <w:t xml:space="preserve"> /  </w:t>
      </w:r>
      <w:r>
        <w:rPr>
          <w:rStyle w:val="14"/>
          <w:rFonts w:hint="eastAsia" w:ascii="宋体" w:hAnsi="宋体" w:cs="宋体"/>
          <w:color w:val="000000"/>
          <w:sz w:val="24"/>
        </w:rPr>
        <w:t>。</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 xml:space="preserve">15.2.2 质量保证金的扣留 </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质量保证金的扣留采取以下第</w:t>
      </w:r>
      <w:r>
        <w:rPr>
          <w:rStyle w:val="14"/>
          <w:rFonts w:hint="eastAsia" w:ascii="宋体" w:hAnsi="宋体" w:cs="宋体"/>
          <w:color w:val="000000"/>
          <w:sz w:val="24"/>
          <w:u w:val="single"/>
        </w:rPr>
        <w:t>2</w:t>
      </w:r>
      <w:r>
        <w:rPr>
          <w:rStyle w:val="14"/>
          <w:rFonts w:hint="eastAsia" w:ascii="宋体" w:hAnsi="宋体" w:cs="宋体"/>
          <w:color w:val="000000"/>
          <w:sz w:val="24"/>
        </w:rPr>
        <w:t>种方式：</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（1）在支付工程进度款时逐次扣留，在此情形下，质量保证金的计算基数不包括预付款的支付、扣回以及价格调整的金额；</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（2）工程竣工结算时一次性扣留质量保证金；</w:t>
      </w:r>
    </w:p>
    <w:p>
      <w:pPr>
        <w:pStyle w:val="20"/>
        <w:autoSpaceDE w:val="0"/>
        <w:autoSpaceDN w:val="0"/>
        <w:bidi w:val="0"/>
        <w:adjustRightInd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 xml:space="preserve">（3）其他扣留方式: </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关于质量保证金的补充约定：</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bookmarkEnd w:id="571"/>
    <w:bookmarkEnd w:id="572"/>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15.3保修</w:t>
      </w:r>
    </w:p>
    <w:bookmarkEnd w:id="573"/>
    <w:p>
      <w:pPr>
        <w:pStyle w:val="20"/>
        <w:bidi w:val="0"/>
        <w:spacing w:line="500" w:lineRule="exact"/>
        <w:ind w:firstLine="468" w:firstLineChars="195"/>
        <w:rPr>
          <w:rStyle w:val="14"/>
          <w:rFonts w:ascii="宋体" w:hAnsi="宋体" w:cs="宋体"/>
          <w:color w:val="000000"/>
          <w:sz w:val="24"/>
          <w:szCs w:val="24"/>
        </w:rPr>
      </w:pPr>
      <w:r>
        <w:rPr>
          <w:rStyle w:val="14"/>
          <w:rFonts w:hint="eastAsia" w:ascii="宋体" w:hAnsi="宋体" w:cs="宋体"/>
          <w:color w:val="000000"/>
          <w:sz w:val="24"/>
          <w:szCs w:val="24"/>
        </w:rPr>
        <w:t>15.3.1 保修责任</w:t>
      </w:r>
    </w:p>
    <w:p>
      <w:pPr>
        <w:pStyle w:val="20"/>
        <w:bidi w:val="0"/>
        <w:spacing w:line="500" w:lineRule="exact"/>
        <w:ind w:firstLine="468" w:firstLineChars="195"/>
        <w:rPr>
          <w:rStyle w:val="14"/>
          <w:rFonts w:ascii="宋体" w:hAnsi="宋体" w:cs="宋体"/>
          <w:color w:val="000000"/>
          <w:sz w:val="24"/>
          <w:szCs w:val="24"/>
          <w:u w:val="single"/>
        </w:rPr>
      </w:pPr>
      <w:r>
        <w:rPr>
          <w:rStyle w:val="14"/>
          <w:rFonts w:hint="eastAsia" w:ascii="宋体" w:hAnsi="宋体" w:cs="宋体"/>
          <w:color w:val="000000"/>
          <w:sz w:val="24"/>
          <w:szCs w:val="24"/>
        </w:rPr>
        <w:t>工程保修期为：</w:t>
      </w:r>
      <w:r>
        <w:rPr>
          <w:rStyle w:val="14"/>
          <w:rFonts w:hint="eastAsia" w:ascii="宋体" w:hAnsi="宋体" w:cs="宋体"/>
          <w:color w:val="000000"/>
          <w:sz w:val="24"/>
          <w:szCs w:val="24"/>
          <w:u w:val="single"/>
        </w:rPr>
        <w:t>详见保修书</w:t>
      </w:r>
      <w:r>
        <w:rPr>
          <w:rStyle w:val="14"/>
          <w:rFonts w:hint="eastAsia" w:ascii="宋体" w:hAnsi="宋体" w:cs="宋体"/>
          <w:color w:val="000000"/>
          <w:sz w:val="24"/>
          <w:szCs w:val="24"/>
        </w:rPr>
        <w:t>。</w:t>
      </w:r>
    </w:p>
    <w:p>
      <w:pPr>
        <w:pStyle w:val="20"/>
        <w:bidi w:val="0"/>
        <w:spacing w:line="500" w:lineRule="exact"/>
        <w:ind w:firstLine="468" w:firstLineChars="195"/>
        <w:rPr>
          <w:rStyle w:val="14"/>
          <w:rFonts w:ascii="宋体" w:hAnsi="宋体" w:cs="宋体"/>
          <w:color w:val="000000"/>
          <w:sz w:val="24"/>
          <w:szCs w:val="24"/>
        </w:rPr>
      </w:pPr>
      <w:r>
        <w:rPr>
          <w:rStyle w:val="14"/>
          <w:rFonts w:hint="eastAsia" w:ascii="宋体" w:hAnsi="宋体" w:cs="宋体"/>
          <w:color w:val="000000"/>
          <w:sz w:val="24"/>
          <w:szCs w:val="24"/>
        </w:rPr>
        <w:t>15.3.2 修复通知</w:t>
      </w:r>
    </w:p>
    <w:p>
      <w:pPr>
        <w:pStyle w:val="20"/>
        <w:bidi w:val="0"/>
        <w:spacing w:line="500" w:lineRule="exact"/>
        <w:ind w:firstLine="468" w:firstLineChars="195"/>
        <w:rPr>
          <w:rStyle w:val="14"/>
          <w:rFonts w:ascii="宋体" w:hAnsi="宋体" w:cs="宋体"/>
          <w:color w:val="000000"/>
          <w:sz w:val="24"/>
          <w:szCs w:val="24"/>
        </w:rPr>
      </w:pPr>
      <w:r>
        <w:rPr>
          <w:rStyle w:val="14"/>
          <w:rFonts w:hint="eastAsia" w:ascii="宋体" w:hAnsi="宋体" w:cs="宋体"/>
          <w:color w:val="000000"/>
          <w:sz w:val="24"/>
          <w:szCs w:val="24"/>
        </w:rPr>
        <w:t>承包人收到保修通知并到达工程现场的合理时间：</w:t>
      </w:r>
      <w:r>
        <w:rPr>
          <w:rStyle w:val="14"/>
          <w:rFonts w:ascii="宋体" w:hAnsi="宋体" w:cs="宋体"/>
          <w:color w:val="000000"/>
          <w:sz w:val="24"/>
          <w:szCs w:val="24"/>
          <w:u w:val="single"/>
        </w:rPr>
        <w:t>24小时内</w:t>
      </w:r>
      <w:r>
        <w:rPr>
          <w:rStyle w:val="14"/>
          <w:rFonts w:hint="eastAsia" w:ascii="宋体" w:hAnsi="宋体" w:cs="宋体"/>
          <w:color w:val="000000"/>
          <w:sz w:val="24"/>
          <w:szCs w:val="24"/>
        </w:rPr>
        <w:t>。</w:t>
      </w:r>
    </w:p>
    <w:bookmarkEnd w:id="574"/>
    <w:bookmarkEnd w:id="575"/>
    <w:bookmarkEnd w:id="576"/>
    <w:bookmarkEnd w:id="577"/>
    <w:p>
      <w:pPr>
        <w:pStyle w:val="20"/>
        <w:keepNext/>
        <w:keepLines/>
        <w:bidi w:val="0"/>
        <w:spacing w:line="500" w:lineRule="exact"/>
        <w:outlineLvl w:val="3"/>
        <w:rPr>
          <w:rStyle w:val="14"/>
          <w:rFonts w:ascii="宋体" w:hAnsi="宋体" w:cs="宋体"/>
          <w:bCs/>
          <w:color w:val="000000"/>
          <w:sz w:val="24"/>
          <w:szCs w:val="24"/>
        </w:rPr>
      </w:pPr>
      <w:bookmarkStart w:id="600" w:name="_Toc351203648"/>
      <w:bookmarkStart w:id="601" w:name="_Toc280868717"/>
      <w:bookmarkStart w:id="602" w:name="_Toc280868718"/>
      <w:r>
        <w:rPr>
          <w:rStyle w:val="14"/>
          <w:rFonts w:hint="eastAsia" w:ascii="宋体" w:hAnsi="宋体" w:cs="宋体"/>
          <w:bCs/>
          <w:color w:val="000000"/>
          <w:sz w:val="24"/>
          <w:szCs w:val="24"/>
        </w:rPr>
        <w:t>16. 违约</w:t>
      </w:r>
      <w:bookmarkEnd w:id="600"/>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16.1 发包人违约</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16.1.1发包人违约的情形</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发包人违约的其他情形：</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left="1200" w:hanging="1200" w:hangingChars="500"/>
        <w:rPr>
          <w:rStyle w:val="14"/>
          <w:rFonts w:ascii="宋体" w:hAnsi="宋体" w:cs="宋体"/>
          <w:color w:val="000000"/>
          <w:sz w:val="24"/>
          <w:szCs w:val="24"/>
        </w:rPr>
      </w:pPr>
      <w:r>
        <w:rPr>
          <w:rStyle w:val="14"/>
          <w:rFonts w:hint="eastAsia" w:ascii="宋体" w:hAnsi="宋体" w:cs="宋体"/>
          <w:color w:val="000000"/>
          <w:sz w:val="24"/>
          <w:szCs w:val="24"/>
        </w:rPr>
        <w:t xml:space="preserve">    16.1.2 发包人违约的责任</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发包人违约责任的承担方式和计算方法：</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（1）因发包人原因未能在计划开工日期前7天内下达开工通知的违约责任：</w:t>
      </w:r>
      <w:r>
        <w:rPr>
          <w:rStyle w:val="14"/>
          <w:rFonts w:hint="eastAsia" w:ascii="宋体" w:hAnsi="宋体" w:cs="宋体"/>
          <w:color w:val="000000"/>
          <w:sz w:val="24"/>
          <w:szCs w:val="24"/>
          <w:u w:val="single"/>
        </w:rPr>
        <w:t>不承担</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（2）因发包人原因未能按合同约定支付合同价款的违约责任：</w:t>
      </w:r>
      <w:r>
        <w:rPr>
          <w:rStyle w:val="14"/>
          <w:rFonts w:hint="eastAsia" w:ascii="宋体" w:hAnsi="宋体" w:cs="宋体"/>
          <w:color w:val="000000"/>
          <w:sz w:val="24"/>
          <w:szCs w:val="24"/>
          <w:u w:val="single"/>
        </w:rPr>
        <w:t>不承担</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（3）发包人违反第10.1款〔变更的范围〕第（2）项约定，自行实施被取消的工作或转由他人实施的违约责任：</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（4）发包人提供的材料、工程设备的规格、数量或质量不符合合同约定，或因发包人原因导致交货日期延误或交货地点变更等情况的违约责任：</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（5）因发包人违反合同约定造成暂停施工的违约责任：</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（6）发包人无正当理由没有在约定期限内发出复工指示，导致承包人无法复工的违约责任：</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（7）其他：</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16.1.3 因发包人违约解除合同</w:t>
      </w:r>
    </w:p>
    <w:p>
      <w:pPr>
        <w:pStyle w:val="20"/>
        <w:autoSpaceDE w:val="0"/>
        <w:autoSpaceDN w:val="0"/>
        <w:bidi w:val="0"/>
        <w:adjustRightInd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承包人按16.1.1项〔发包人违约的情形〕约定暂停施工满 90天后发包人仍不纠正其违约行为并致使合同目的不能实现的，承包人有权解除合同。</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16.2 承包人违约</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16.2.1 承包人违约的情形</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承包人违约的其他情形：</w:t>
      </w:r>
      <w:r>
        <w:rPr>
          <w:rStyle w:val="14"/>
          <w:rFonts w:hint="eastAsia" w:ascii="宋体" w:hAnsi="宋体" w:cs="宋体"/>
          <w:color w:val="000000"/>
          <w:sz w:val="24"/>
          <w:szCs w:val="24"/>
          <w:u w:val="single"/>
        </w:rPr>
        <w:t xml:space="preserve">/ </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16.2.2承包人违约的责任</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color w:val="000000"/>
          <w:sz w:val="24"/>
          <w:szCs w:val="24"/>
        </w:rPr>
        <w:t>承包人违约责任的承担方式和计算方法：</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16.2.2.1、在施工期间承包人如发生重大质量和安全事故，必须承担事故处理的一切费用、工程的恢复费用及因此造成后续工程延期费用（每次处罚至合同价款的20%），发包人有权终止合同并要求承包人退场，或减少其承包内容，所造成的损失由承包人承担。</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16.2.2.2、承包人不按期交付合格竣工图及竣工资料，发包人将推迟审核承包人决算时间，由此造成的损失由承包人承担，承包人还应向发包人支付合同价款万分之五的违约金。</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16.2.2.3、如承包人未经发包人同意擅自将其在施工过程中获悉的发包人商业秘密向第三人泄露（如发包人提供的图纸等内容），情节严重的，发包人有权单方终止合同，同时承担违约金1万元。如承包人支付了违约金后仍不能弥补因其泄露发包人商业秘密给发包人造成的经济损失的，承包人还应赔偿发包人的实际经济损失。</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 xml:space="preserve"> 16.2.2.4、如承包人未能按本合同约定在工程竣工后及时清理垃圾、平整场地，则发包人有权自行清理垃圾、平整场地，承包人除应负担发包人因此而发生的费用外，还应按本合同总价款2%的标准向发包人支付违约金。</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16.2.2.5、本工程应达到发包人要求的质量标准，承包人应按照现行的国家施工验收规范和资料评定标准施工</w:t>
      </w:r>
      <w:r>
        <w:rPr>
          <w:rStyle w:val="14"/>
          <w:rFonts w:ascii="宋体" w:hAnsi="宋体" w:cs="宋体"/>
          <w:color w:val="000000"/>
          <w:sz w:val="24"/>
          <w:szCs w:val="24"/>
        </w:rPr>
        <w:t>（</w:t>
      </w:r>
      <w:r>
        <w:rPr>
          <w:rStyle w:val="14"/>
          <w:rFonts w:hint="eastAsia" w:ascii="宋体" w:hAnsi="宋体" w:cs="宋体"/>
          <w:color w:val="000000"/>
          <w:sz w:val="24"/>
          <w:szCs w:val="24"/>
        </w:rPr>
        <w:t>如有约定</w:t>
      </w:r>
      <w:r>
        <w:rPr>
          <w:rStyle w:val="14"/>
          <w:rFonts w:ascii="宋体" w:hAnsi="宋体" w:cs="宋体"/>
          <w:color w:val="000000"/>
          <w:sz w:val="24"/>
          <w:szCs w:val="24"/>
        </w:rPr>
        <w:t>，</w:t>
      </w:r>
      <w:r>
        <w:rPr>
          <w:rStyle w:val="14"/>
          <w:rFonts w:hint="eastAsia" w:ascii="宋体" w:hAnsi="宋体" w:cs="宋体"/>
          <w:color w:val="000000"/>
          <w:sz w:val="24"/>
          <w:szCs w:val="24"/>
        </w:rPr>
        <w:t>应同时符合约定标准</w:t>
      </w:r>
      <w:r>
        <w:rPr>
          <w:rStyle w:val="14"/>
          <w:rFonts w:ascii="宋体" w:hAnsi="宋体" w:cs="宋体"/>
          <w:color w:val="000000"/>
          <w:sz w:val="24"/>
          <w:szCs w:val="24"/>
        </w:rPr>
        <w:t>）</w:t>
      </w:r>
      <w:r>
        <w:rPr>
          <w:rStyle w:val="14"/>
          <w:rFonts w:hint="eastAsia" w:ascii="宋体" w:hAnsi="宋体" w:cs="宋体"/>
          <w:color w:val="000000"/>
          <w:sz w:val="24"/>
          <w:szCs w:val="24"/>
        </w:rPr>
        <w:t>。如第一次工程竣工验收时工程质量达不到合格标准时，承包人自愿放弃50%部分的履约保证金；第二次工程竣工验收时工程质量仍达不到合格标准时，承包人自愿放弃全部履约保证金，同时向发包人支付20万元的违约金，且发包人有权终止合同并不再支付剩余工程款，承包人还应当另行承担因此给发包人造成的损失。</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16.2.2.6、因承包人自身原因，造成工程达不到合格标准，发包人要求整改的，承包人整改所需时间计算在合同总工期内，逾期交付工程的，按照本合同相关条款支付违约金。</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16.2.2.7、承包人进场后需执行监理单位下发的现场管理制度，如违反相关制度，承包人自愿按管理制度的相应的标准向发包人支付违约金。</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16.2.2.8、工程发生质量事故的，除及时全部消除工程质量问题和处理事故外，还需向发包人支付违约金40万元/次</w:t>
      </w:r>
      <w:r>
        <w:rPr>
          <w:rStyle w:val="14"/>
          <w:rFonts w:ascii="宋体" w:hAnsi="宋体" w:cs="宋体"/>
          <w:color w:val="000000"/>
          <w:sz w:val="24"/>
          <w:szCs w:val="24"/>
        </w:rPr>
        <w:t>；</w:t>
      </w:r>
      <w:r>
        <w:rPr>
          <w:rStyle w:val="14"/>
          <w:rFonts w:hint="eastAsia" w:ascii="宋体" w:hAnsi="宋体" w:cs="宋体"/>
          <w:color w:val="000000"/>
          <w:sz w:val="24"/>
          <w:szCs w:val="24"/>
        </w:rPr>
        <w:t>因事故纯属于发包人和设计人责任造成的</w:t>
      </w:r>
      <w:r>
        <w:rPr>
          <w:rStyle w:val="14"/>
          <w:rFonts w:ascii="宋体" w:hAnsi="宋体" w:cs="宋体"/>
          <w:color w:val="000000"/>
          <w:sz w:val="24"/>
          <w:szCs w:val="24"/>
        </w:rPr>
        <w:t>，</w:t>
      </w:r>
      <w:r>
        <w:rPr>
          <w:rStyle w:val="14"/>
          <w:rFonts w:hint="eastAsia" w:ascii="宋体" w:hAnsi="宋体" w:cs="宋体"/>
          <w:color w:val="000000"/>
          <w:sz w:val="24"/>
          <w:szCs w:val="24"/>
        </w:rPr>
        <w:t>承包人免责。</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16.2.2.9、工程发生人身或者财产安全事故的，承包人向发包人支付违约金10万元/次。</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16.2.2.10、现场质量或安全文明被主管部门通报批评的，承包人向发包人支付违约金2万元/次。</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16.2.2.11、当工期延误超过10天时，发包人有权解除合同，已实施的工程内容归发包人所有。</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16.2.2.12、承包人擅自修改图纸并施工的，承包人向发包人支付违约金10万元/次。</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16.2.2.13、上道工序未经验收就擅自施工下道工序的，承包人向发包人支付违约金1万元/次。</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16.2.2.14、关键工序施工方案未经论证或批准就进行施工的，承包人向发包人支付违约金5万元/次。</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16.2.2.15、主要机械未经相关部门验收就投入使用的，承包人向发包人支付违约金1万元/次。</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16.2.2.16、现场安全文明不达标的，如连续2次被发包人书面批评的，承包人向发包人支付违约金2万元；如若出现上级部门检查的，并经通报批评的可处罚4万元/次；因工期问题被督查办通报批评的处罚4万元/次。</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16.2.2.17、如承包人及其工作人员辱骂、殴打发包人及监理人工作人员，除依法承担行政处罚后果及赔偿受害人经济损失等法律责任外，承包人还应向发包人支付违约金2万元/次。</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16.2.2.18、本工程的项目负责人及本工程项目管理机构人员，每周在工地工作时间不低于6天，每天在工地工作时间不低于8个小时，特殊情况下需离开时应当事先征得发包人现场负责人同意。承包人应当遵守发包人考勤、考核制度，凡项目部每次现场考勤、考核点名施工人员不在场的，每人每次罚款2000元/次，凡发包人领导莅临施工现场考勤、考核点名施工人员不在场的，每人每次罚款4000元/次。</w:t>
      </w:r>
      <w:r>
        <w:rPr>
          <w:rStyle w:val="14"/>
          <w:rFonts w:hint="eastAsia" w:ascii="宋体" w:hAnsi="宋体" w:cs="宋体"/>
          <w:color w:val="000000"/>
          <w:sz w:val="24"/>
          <w:u w:val="single"/>
        </w:rPr>
        <w:t>以上情况累计5次及以上</w:t>
      </w:r>
      <w:r>
        <w:rPr>
          <w:rStyle w:val="14"/>
          <w:rFonts w:hint="eastAsia" w:ascii="宋体" w:hAnsi="宋体" w:cs="宋体"/>
          <w:color w:val="000000"/>
          <w:sz w:val="24"/>
          <w:szCs w:val="24"/>
        </w:rPr>
        <w:t>发包人有权终止合同、拒绝支付履约保证金、停止支付工程款。</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16.2.2.19、违反3.1条第（5）项约定的，每延迟一天，承包人每日向发包人支付2万元违约金。</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16.2.2.20、项目负责人必须参加每周召开的工程例会，有事必须书面请假。如项目负责人未经发包人同意违反上述规定，每缺席一次例会支付违约金4000元整。一周如有二个工作日或二个月累计10天不在现场或二个月缺席例会三次，为严重违约，承包人自愿向发包人支付违约金2万元，同时发包人有权终止合同，将承包人清退出场，终止合同的，并不免除承包人应当承担的合同义务。</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16.2.2.21、承包人必须提供项目负责人的劳动合同和社保缴纳证明，否则将视为违约，承包人应当向发包人支付违约金10万元。</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16.2.2.22、承包人擅自更换项目负责人的违约责任：⑴合同签订时，承包人的项目负责人注册证书交招标人保管；⑵响应文件中明确的项目负责人，未经发包人许可不得擅自变更</w:t>
      </w:r>
      <w:r>
        <w:rPr>
          <w:rStyle w:val="14"/>
          <w:rFonts w:ascii="宋体" w:hAnsi="宋体" w:cs="宋体"/>
          <w:color w:val="000000"/>
          <w:sz w:val="24"/>
          <w:szCs w:val="24"/>
        </w:rPr>
        <w:t>，</w:t>
      </w:r>
      <w:r>
        <w:rPr>
          <w:rStyle w:val="14"/>
          <w:rFonts w:hint="eastAsia" w:ascii="宋体" w:hAnsi="宋体" w:cs="宋体"/>
          <w:color w:val="000000"/>
          <w:sz w:val="24"/>
          <w:szCs w:val="24"/>
        </w:rPr>
        <w:t>否则，发包人有权终止合同，追回已经支付的款项，承包人并向发包人支付违约金合同价款的10%；⑶如果因客观原因更换项目负责人，必须得到发包人的批准。更换的项目负责人必须是本企业正式员工（出具半年以上本企业的劳保统筹交费证明原件），并且与投标项目负责人有同等条件，如资质、业绩等。</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16.2.2.23、因客观原因更换项目负责人，承包人须向发包人支付20万元违约金。承包人无正当理由拒绝更换不合格项目负责人的或擅自更换项目负责人，应当向发包人支付20万元违约金，经发包人通知仍不整改的，承包人同意发包人终止合同。</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16.2.2.24、承包人主要施工管理人员不称职造成工程质量、安全管理、进度管理、文明管理明显无法达到原定计划标准时，发包人有权要求承包人在7日内撤换或调整其认为不称职的主要施工管理人员，承包人无正当理由拒绝撤换该主要施工管理人员的，自承包人接收发包人书面通知之日起，每延迟更换一天，应当向发包人支付 2万元/人的违约金，直至将主要施工管理人员按照竞争性磋商文件及本合同要求的称职人员之日止。承包人无正当理由拒绝更换的，发包人有权终止合同，并追究由此给发包人造成的一切损失。</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16.2.2.25、承包人擅自更换主要施工管理人员，承包人应当向发包人支付10万元/人的违约金。</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 xml:space="preserve">16.2.2.26、承包人未按时移交工程的，每延迟一天，承包人以合同总价千分之三的金额向发包人支付违约金。    </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16.2.3 因承包人违约解除合同</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关于承包人违约解除合同的特别约定：</w:t>
      </w:r>
      <w:r>
        <w:rPr>
          <w:rStyle w:val="14"/>
          <w:rFonts w:hint="eastAsia" w:ascii="宋体" w:hAnsi="宋体" w:cs="宋体"/>
          <w:color w:val="000000"/>
          <w:sz w:val="24"/>
          <w:szCs w:val="24"/>
          <w:u w:val="single"/>
        </w:rPr>
        <w:t>在本合同终止后，承包人必须在5日内无条件退场并完成清理工作。发包人将按承包人已完成部分的合格工程量的60%给予结算，承包人并承担由此而给发包方造成的一切损失</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发包人继续使用承包人在施工现场的材料、设备、临时工程、承包人文件和由承包人或以其名义编制的其他文件的费用承担方式：</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keepNext/>
        <w:keepLines/>
        <w:bidi w:val="0"/>
        <w:spacing w:line="500" w:lineRule="exact"/>
        <w:outlineLvl w:val="3"/>
        <w:rPr>
          <w:rStyle w:val="14"/>
          <w:rFonts w:ascii="宋体" w:hAnsi="宋体" w:cs="宋体"/>
          <w:bCs/>
          <w:color w:val="000000"/>
          <w:sz w:val="24"/>
          <w:szCs w:val="24"/>
        </w:rPr>
      </w:pPr>
      <w:bookmarkStart w:id="603" w:name="_Toc351203649"/>
      <w:r>
        <w:rPr>
          <w:rStyle w:val="14"/>
          <w:rFonts w:hint="eastAsia" w:ascii="宋体" w:hAnsi="宋体" w:cs="宋体"/>
          <w:bCs/>
          <w:color w:val="000000"/>
          <w:sz w:val="24"/>
          <w:szCs w:val="24"/>
        </w:rPr>
        <w:t>17. 不可抗力</w:t>
      </w:r>
      <w:bookmarkEnd w:id="603"/>
      <w:r>
        <w:rPr>
          <w:rStyle w:val="14"/>
          <w:rFonts w:hint="eastAsia" w:ascii="宋体" w:hAnsi="宋体" w:cs="宋体"/>
          <w:bCs/>
          <w:color w:val="000000"/>
          <w:sz w:val="24"/>
          <w:szCs w:val="24"/>
        </w:rPr>
        <w:t xml:space="preserve"> </w:t>
      </w:r>
      <w:bookmarkEnd w:id="601"/>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17.1 不可抗力的确认</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 xml:space="preserve">除通用合同条款约定的不可抗力事件之外，视为不可抗力的其他情形： </w:t>
      </w:r>
      <w:r>
        <w:rPr>
          <w:rStyle w:val="14"/>
          <w:rFonts w:hint="eastAsia" w:ascii="宋体" w:hAnsi="宋体" w:cs="宋体"/>
          <w:color w:val="000000"/>
          <w:sz w:val="24"/>
          <w:szCs w:val="24"/>
          <w:u w:val="single"/>
        </w:rPr>
        <w:t xml:space="preserve"> 按通用条款执行</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17.2 因不可抗力解除合同</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合同解除后，发包人应在商定或确定发包人应支付款项后</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天内完成款项的支付。</w:t>
      </w:r>
    </w:p>
    <w:p>
      <w:pPr>
        <w:pStyle w:val="20"/>
        <w:keepNext/>
        <w:keepLines/>
        <w:bidi w:val="0"/>
        <w:spacing w:line="500" w:lineRule="exact"/>
        <w:outlineLvl w:val="3"/>
        <w:rPr>
          <w:rStyle w:val="14"/>
          <w:rFonts w:ascii="宋体" w:hAnsi="宋体" w:cs="宋体"/>
          <w:bCs/>
          <w:color w:val="000000"/>
          <w:sz w:val="24"/>
          <w:szCs w:val="24"/>
        </w:rPr>
      </w:pPr>
      <w:bookmarkStart w:id="604" w:name="_Toc351203650"/>
      <w:r>
        <w:rPr>
          <w:rStyle w:val="14"/>
          <w:rFonts w:hint="eastAsia" w:ascii="宋体" w:hAnsi="宋体" w:cs="宋体"/>
          <w:bCs/>
          <w:color w:val="000000"/>
          <w:sz w:val="24"/>
          <w:szCs w:val="24"/>
        </w:rPr>
        <w:t>18. 保险</w:t>
      </w:r>
      <w:bookmarkEnd w:id="604"/>
    </w:p>
    <w:bookmarkEnd w:id="602"/>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18.1 工程保险</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color w:val="000000"/>
          <w:sz w:val="24"/>
          <w:szCs w:val="24"/>
        </w:rPr>
        <w:t>关于工程保险的特别约定：</w:t>
      </w:r>
      <w:r>
        <w:rPr>
          <w:rStyle w:val="14"/>
          <w:rFonts w:hint="eastAsia" w:ascii="宋体" w:hAnsi="宋体" w:cs="宋体"/>
          <w:color w:val="000000"/>
          <w:sz w:val="24"/>
          <w:szCs w:val="24"/>
          <w:u w:val="single"/>
        </w:rPr>
        <w:t>承包人必须按国家或地方有关规定，对本工程施工作业人员办理意外伤害保险；第三方人身险并承担保险费用。</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color w:val="000000"/>
          <w:sz w:val="24"/>
          <w:szCs w:val="24"/>
          <w:u w:val="single"/>
        </w:rPr>
        <w:t>承包人须对进入施工现场人员的意外或伤亡负全部责任。发包人对包括但不限于任何雇员的意外或伤亡，不论该人是受雇于承包人或其分包人，皆不负任何法律上的赔偿责任，承包人须保障发包人免负任何有关的索偿、要求、诉讼、成本、费用和支出。</w:t>
      </w:r>
    </w:p>
    <w:p>
      <w:pPr>
        <w:pStyle w:val="20"/>
        <w:bidi w:val="0"/>
        <w:spacing w:line="500" w:lineRule="exact"/>
        <w:rPr>
          <w:rStyle w:val="14"/>
          <w:rFonts w:ascii="宋体" w:hAnsi="宋体" w:cs="宋体"/>
          <w:color w:val="000000"/>
          <w:sz w:val="24"/>
          <w:szCs w:val="24"/>
        </w:rPr>
      </w:pPr>
      <w:r>
        <w:rPr>
          <w:rStyle w:val="14"/>
          <w:rFonts w:hint="eastAsia" w:ascii="宋体" w:hAnsi="宋体" w:cs="宋体"/>
          <w:color w:val="000000"/>
          <w:sz w:val="24"/>
          <w:szCs w:val="24"/>
          <w:u w:val="single"/>
        </w:rPr>
        <w:t xml:space="preserve">承包人须对与本工程有关或本工程进行期间发生或本工程引致的人身伤亡及财产损坏负费用、损失、索偿或诉讼等法律责任，并须保障发包人免负该等责任，除非有关伤亡是发包人所引致的 </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18.2 其他保险</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关于其他保险的约定：</w:t>
      </w:r>
      <w:r>
        <w:rPr>
          <w:rStyle w:val="14"/>
          <w:rFonts w:hint="eastAsia" w:ascii="宋体" w:hAnsi="宋体" w:cs="宋体"/>
          <w:color w:val="000000"/>
          <w:sz w:val="24"/>
          <w:szCs w:val="24"/>
          <w:u w:val="single"/>
        </w:rPr>
        <w:t>按通用条款执行</w:t>
      </w:r>
      <w:r>
        <w:rPr>
          <w:rStyle w:val="14"/>
          <w:rFonts w:hint="eastAsia" w:ascii="宋体" w:hAnsi="宋体" w:cs="宋体"/>
          <w:color w:val="000000"/>
          <w:sz w:val="24"/>
          <w:szCs w:val="24"/>
        </w:rPr>
        <w:t>。</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承包人是否应为其施工设备等办理财产保险：</w:t>
      </w:r>
      <w:r>
        <w:rPr>
          <w:rStyle w:val="14"/>
          <w:rFonts w:hint="eastAsia" w:ascii="宋体" w:hAnsi="宋体" w:cs="宋体"/>
          <w:color w:val="000000"/>
          <w:sz w:val="24"/>
          <w:szCs w:val="24"/>
          <w:u w:val="single"/>
        </w:rPr>
        <w:t>承担合同履行期间所有按规定投保的内容。承包人必须按规定为职工办理意外伤害保险，并为施工现场内自有人员生命财产和施工机械设备办理保险，并承担费用。</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18.3 通知义务</w:t>
      </w:r>
    </w:p>
    <w:p>
      <w:pPr>
        <w:pStyle w:val="20"/>
        <w:bidi w:val="0"/>
        <w:spacing w:line="500" w:lineRule="exact"/>
        <w:ind w:firstLine="480" w:firstLineChars="200"/>
        <w:rPr>
          <w:rStyle w:val="14"/>
          <w:rFonts w:ascii="宋体" w:hAnsi="宋体" w:cs="宋体"/>
          <w:color w:val="000000"/>
          <w:sz w:val="24"/>
          <w:szCs w:val="24"/>
          <w:u w:val="single"/>
        </w:rPr>
      </w:pPr>
      <w:r>
        <w:rPr>
          <w:rStyle w:val="14"/>
          <w:rFonts w:hint="eastAsia" w:ascii="宋体" w:hAnsi="宋体" w:cs="宋体"/>
          <w:color w:val="000000"/>
          <w:sz w:val="24"/>
          <w:szCs w:val="24"/>
        </w:rPr>
        <w:t>关于变更保险合同时的通知义务的约定：</w:t>
      </w:r>
      <w:r>
        <w:rPr>
          <w:rStyle w:val="14"/>
          <w:rFonts w:hint="eastAsia" w:ascii="宋体" w:hAnsi="宋体" w:cs="宋体"/>
          <w:color w:val="000000"/>
          <w:sz w:val="24"/>
          <w:szCs w:val="24"/>
          <w:u w:val="single"/>
        </w:rPr>
        <w:t>发包人变更除工伤保险之外的保险合同时，应事先征得承包人同意，并通知监理人；承包人变更除工伤保险之外的保险合同时，应事先征得发包人同意，并通知监理人。</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u w:val="single"/>
        </w:rPr>
        <w:t>保险事故发生时，投保人应按照保险合同规定的条件和期限及时向保险人报告。发包人和承包人应当在知道保险事故发生后及时通知对方。</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双方住所地及其他联系方法发生变更的，应当及时通知对方。否则应当承担相应的法律后果。发包人向承包人发出的有关本合同履行的所有书面通知等文件既可直接或者邮寄送达，也可通过《宿迁日报》或者《宿迁晚报》刊登公告进行送达，报刊刊登公告的第三日即视为承包人接收。</w:t>
      </w:r>
    </w:p>
    <w:bookmarkEnd w:id="578"/>
    <w:bookmarkEnd w:id="579"/>
    <w:bookmarkEnd w:id="580"/>
    <w:bookmarkEnd w:id="581"/>
    <w:bookmarkEnd w:id="582"/>
    <w:bookmarkEnd w:id="583"/>
    <w:bookmarkEnd w:id="584"/>
    <w:bookmarkEnd w:id="585"/>
    <w:bookmarkEnd w:id="586"/>
    <w:bookmarkEnd w:id="587"/>
    <w:bookmarkEnd w:id="588"/>
    <w:bookmarkEnd w:id="589"/>
    <w:p>
      <w:pPr>
        <w:pStyle w:val="20"/>
        <w:keepNext/>
        <w:keepLines/>
        <w:bidi w:val="0"/>
        <w:spacing w:line="500" w:lineRule="exact"/>
        <w:outlineLvl w:val="3"/>
        <w:rPr>
          <w:rStyle w:val="14"/>
          <w:rFonts w:ascii="宋体" w:hAnsi="宋体" w:cs="宋体"/>
          <w:bCs/>
          <w:color w:val="000000"/>
          <w:sz w:val="24"/>
          <w:szCs w:val="24"/>
        </w:rPr>
      </w:pPr>
      <w:bookmarkStart w:id="605" w:name="_Toc351203651"/>
      <w:r>
        <w:rPr>
          <w:rStyle w:val="14"/>
          <w:rFonts w:hint="eastAsia" w:ascii="宋体" w:hAnsi="宋体" w:cs="宋体"/>
          <w:bCs/>
          <w:color w:val="000000"/>
          <w:sz w:val="24"/>
          <w:szCs w:val="24"/>
        </w:rPr>
        <w:t>19. 争议解决</w:t>
      </w:r>
      <w:bookmarkEnd w:id="605"/>
    </w:p>
    <w:bookmarkEnd w:id="590"/>
    <w:bookmarkEnd w:id="591"/>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19.1 争</w:t>
      </w:r>
      <w:bookmarkEnd w:id="592"/>
      <w:r>
        <w:rPr>
          <w:rStyle w:val="14"/>
          <w:rFonts w:hint="eastAsia" w:ascii="宋体" w:hAnsi="宋体" w:cs="宋体"/>
          <w:bCs/>
          <w:color w:val="000000"/>
          <w:sz w:val="24"/>
          <w:szCs w:val="24"/>
        </w:rPr>
        <w:t>议评审</w:t>
      </w:r>
    </w:p>
    <w:p>
      <w:pPr>
        <w:pStyle w:val="20"/>
        <w:bidi w:val="0"/>
        <w:spacing w:line="500" w:lineRule="exact"/>
        <w:ind w:firstLine="360" w:firstLineChars="150"/>
        <w:rPr>
          <w:rStyle w:val="14"/>
          <w:rFonts w:ascii="宋体" w:hAnsi="宋体" w:cs="宋体"/>
          <w:color w:val="000000"/>
          <w:sz w:val="24"/>
          <w:szCs w:val="24"/>
        </w:rPr>
      </w:pPr>
      <w:r>
        <w:rPr>
          <w:rStyle w:val="14"/>
          <w:rFonts w:hint="eastAsia" w:ascii="宋体" w:hAnsi="宋体" w:cs="宋体"/>
          <w:color w:val="000000"/>
          <w:sz w:val="24"/>
          <w:szCs w:val="24"/>
        </w:rPr>
        <w:t>合同当事人是否同意将工程争议提交争议评审小组决定：</w:t>
      </w:r>
      <w:r>
        <w:rPr>
          <w:rStyle w:val="14"/>
          <w:rFonts w:hint="eastAsia" w:ascii="宋体" w:hAnsi="宋体" w:cs="宋体"/>
          <w:color w:val="000000"/>
          <w:sz w:val="24"/>
          <w:szCs w:val="24"/>
          <w:u w:val="single"/>
        </w:rPr>
        <w:t xml:space="preserve">/ </w:t>
      </w:r>
      <w:r>
        <w:rPr>
          <w:rStyle w:val="14"/>
          <w:rFonts w:hint="eastAsia" w:ascii="宋体" w:hAnsi="宋体" w:cs="宋体"/>
          <w:color w:val="000000"/>
          <w:sz w:val="24"/>
          <w:szCs w:val="24"/>
        </w:rPr>
        <w:t xml:space="preserve">。  </w:t>
      </w:r>
    </w:p>
    <w:p>
      <w:pPr>
        <w:pStyle w:val="23"/>
        <w:bidi w:val="0"/>
        <w:spacing w:line="500" w:lineRule="exact"/>
        <w:ind w:firstLine="480"/>
        <w:rPr>
          <w:rStyle w:val="14"/>
          <w:rFonts w:ascii="宋体" w:hAnsi="宋体" w:cs="宋体"/>
          <w:color w:val="000000"/>
          <w:sz w:val="24"/>
        </w:rPr>
      </w:pPr>
      <w:r>
        <w:rPr>
          <w:rStyle w:val="14"/>
          <w:rFonts w:hint="eastAsia" w:ascii="宋体" w:hAnsi="宋体" w:cs="宋体"/>
          <w:color w:val="000000"/>
          <w:sz w:val="24"/>
        </w:rPr>
        <w:t>19.1.1 争议评审小组的确定</w:t>
      </w:r>
    </w:p>
    <w:p>
      <w:pPr>
        <w:pStyle w:val="20"/>
        <w:bidi w:val="0"/>
        <w:spacing w:line="500" w:lineRule="exact"/>
        <w:ind w:firstLine="360" w:firstLineChars="150"/>
        <w:rPr>
          <w:rStyle w:val="14"/>
          <w:rFonts w:ascii="宋体" w:hAnsi="宋体" w:cs="宋体"/>
          <w:color w:val="000000"/>
          <w:sz w:val="24"/>
          <w:szCs w:val="24"/>
          <w:u w:val="single"/>
        </w:rPr>
      </w:pPr>
      <w:r>
        <w:rPr>
          <w:rStyle w:val="14"/>
          <w:rFonts w:hint="eastAsia" w:ascii="宋体" w:hAnsi="宋体" w:cs="宋体"/>
          <w:color w:val="000000"/>
          <w:sz w:val="24"/>
          <w:szCs w:val="24"/>
        </w:rPr>
        <w:t xml:space="preserve">争议评审小组成员的确定：  </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360" w:firstLineChars="150"/>
        <w:rPr>
          <w:rStyle w:val="14"/>
          <w:rFonts w:ascii="宋体" w:hAnsi="宋体" w:cs="宋体"/>
          <w:color w:val="000000"/>
          <w:sz w:val="24"/>
          <w:szCs w:val="24"/>
          <w:u w:val="single"/>
        </w:rPr>
      </w:pPr>
      <w:r>
        <w:rPr>
          <w:rStyle w:val="14"/>
          <w:rFonts w:hint="eastAsia" w:ascii="宋体" w:hAnsi="宋体" w:cs="宋体"/>
          <w:color w:val="000000"/>
          <w:sz w:val="24"/>
          <w:szCs w:val="24"/>
        </w:rPr>
        <w:t>选定争议评审员的期限：</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360" w:firstLineChars="150"/>
        <w:rPr>
          <w:rStyle w:val="14"/>
          <w:rFonts w:ascii="宋体" w:hAnsi="宋体" w:cs="宋体"/>
          <w:color w:val="000000"/>
          <w:sz w:val="24"/>
          <w:szCs w:val="24"/>
          <w:u w:val="single"/>
        </w:rPr>
      </w:pPr>
      <w:r>
        <w:rPr>
          <w:rStyle w:val="14"/>
          <w:rFonts w:hint="eastAsia" w:ascii="宋体" w:hAnsi="宋体" w:cs="宋体"/>
          <w:color w:val="000000"/>
          <w:sz w:val="24"/>
          <w:szCs w:val="24"/>
        </w:rPr>
        <w:t>争议评审小组成员的报酬承担方式：</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500" w:lineRule="exact"/>
        <w:ind w:firstLine="360" w:firstLineChars="150"/>
        <w:rPr>
          <w:rStyle w:val="14"/>
          <w:rFonts w:ascii="宋体" w:hAnsi="宋体" w:cs="宋体"/>
          <w:color w:val="000000"/>
          <w:sz w:val="24"/>
          <w:szCs w:val="24"/>
          <w:u w:val="single"/>
        </w:rPr>
      </w:pPr>
      <w:r>
        <w:rPr>
          <w:rStyle w:val="14"/>
          <w:rFonts w:hint="eastAsia" w:ascii="宋体" w:hAnsi="宋体" w:cs="宋体"/>
          <w:color w:val="000000"/>
          <w:sz w:val="24"/>
          <w:szCs w:val="24"/>
        </w:rPr>
        <w:t>其他事项的约定</w:t>
      </w:r>
      <w:r>
        <w:rPr>
          <w:rStyle w:val="14"/>
          <w:rFonts w:hint="eastAsia" w:ascii="宋体" w:hAnsi="宋体" w:cs="宋体"/>
          <w:color w:val="000000"/>
          <w:sz w:val="24"/>
          <w:szCs w:val="24"/>
          <w:u w:val="single"/>
        </w:rPr>
        <w:t xml:space="preserve">：/     </w:t>
      </w:r>
      <w:r>
        <w:rPr>
          <w:rStyle w:val="14"/>
          <w:rFonts w:hint="eastAsia" w:ascii="宋体" w:hAnsi="宋体" w:cs="宋体"/>
          <w:color w:val="000000"/>
          <w:sz w:val="24"/>
          <w:szCs w:val="24"/>
        </w:rPr>
        <w:t>。</w:t>
      </w:r>
    </w:p>
    <w:p>
      <w:pPr>
        <w:pStyle w:val="20"/>
        <w:bidi w:val="0"/>
        <w:spacing w:line="500" w:lineRule="exact"/>
        <w:ind w:firstLine="360" w:firstLineChars="150"/>
        <w:rPr>
          <w:rStyle w:val="14"/>
          <w:rFonts w:ascii="宋体" w:hAnsi="宋体" w:cs="宋体"/>
          <w:color w:val="000000"/>
          <w:sz w:val="24"/>
          <w:szCs w:val="24"/>
          <w:u w:val="single"/>
        </w:rPr>
      </w:pPr>
      <w:r>
        <w:rPr>
          <w:rStyle w:val="14"/>
          <w:rFonts w:hint="eastAsia" w:ascii="宋体" w:hAnsi="宋体" w:cs="宋体"/>
          <w:color w:val="000000"/>
          <w:sz w:val="24"/>
          <w:szCs w:val="24"/>
        </w:rPr>
        <w:t>19.1.2 争议评审小组的决定</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合同当事人关于本项的约定：</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keepNext/>
        <w:keepLines/>
        <w:bidi w:val="0"/>
        <w:spacing w:line="500" w:lineRule="exact"/>
        <w:ind w:firstLine="480" w:firstLineChars="200"/>
        <w:outlineLvl w:val="4"/>
        <w:rPr>
          <w:rStyle w:val="14"/>
          <w:rFonts w:ascii="宋体" w:hAnsi="宋体" w:cs="宋体"/>
          <w:bCs/>
          <w:color w:val="000000"/>
          <w:sz w:val="24"/>
          <w:szCs w:val="24"/>
        </w:rPr>
      </w:pPr>
      <w:r>
        <w:rPr>
          <w:rStyle w:val="14"/>
          <w:rFonts w:hint="eastAsia" w:ascii="宋体" w:hAnsi="宋体" w:cs="宋体"/>
          <w:bCs/>
          <w:color w:val="000000"/>
          <w:sz w:val="24"/>
          <w:szCs w:val="24"/>
        </w:rPr>
        <w:t>19.2仲裁或诉讼</w:t>
      </w:r>
      <w:bookmarkEnd w:id="593"/>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因合同及合同有关事项发生的争议，按下列第</w:t>
      </w:r>
      <w:r>
        <w:rPr>
          <w:rStyle w:val="14"/>
          <w:rFonts w:hint="eastAsia" w:ascii="宋体" w:hAnsi="宋体" w:cs="宋体"/>
          <w:color w:val="000000"/>
          <w:sz w:val="24"/>
          <w:szCs w:val="24"/>
          <w:u w:val="single"/>
        </w:rPr>
        <w:t xml:space="preserve"> </w:t>
      </w:r>
      <w:r>
        <w:rPr>
          <w:rStyle w:val="14"/>
          <w:rFonts w:ascii="宋体" w:hAnsi="宋体" w:cs="宋体"/>
          <w:color w:val="000000"/>
          <w:sz w:val="24"/>
          <w:szCs w:val="24"/>
          <w:u w:val="single"/>
        </w:rPr>
        <w:t>2</w:t>
      </w:r>
      <w:r>
        <w:rPr>
          <w:rStyle w:val="14"/>
          <w:rFonts w:hint="eastAsia" w:ascii="宋体" w:hAnsi="宋体" w:cs="宋体"/>
          <w:color w:val="000000"/>
          <w:sz w:val="24"/>
          <w:szCs w:val="24"/>
          <w:u w:val="single"/>
        </w:rPr>
        <w:t xml:space="preserve"> </w:t>
      </w:r>
      <w:r>
        <w:rPr>
          <w:rStyle w:val="14"/>
          <w:rFonts w:hint="eastAsia" w:ascii="宋体" w:hAnsi="宋体" w:cs="宋体"/>
          <w:color w:val="000000"/>
          <w:sz w:val="24"/>
          <w:szCs w:val="24"/>
        </w:rPr>
        <w:t>种方式解决：</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（1）向</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仲裁委员会申请仲裁；</w:t>
      </w:r>
    </w:p>
    <w:p>
      <w:pPr>
        <w:pStyle w:val="20"/>
        <w:bidi w:val="0"/>
        <w:spacing w:line="50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（2）向</w:t>
      </w:r>
      <w:r>
        <w:rPr>
          <w:rStyle w:val="14"/>
          <w:rFonts w:hint="eastAsia" w:ascii="宋体" w:hAnsi="宋体" w:cs="宋体"/>
          <w:color w:val="000000"/>
          <w:sz w:val="24"/>
          <w:szCs w:val="24"/>
          <w:u w:val="single"/>
        </w:rPr>
        <w:t xml:space="preserve"> 宿迁市宿城区</w:t>
      </w:r>
      <w:r>
        <w:rPr>
          <w:rStyle w:val="14"/>
          <w:rFonts w:hint="eastAsia" w:ascii="宋体" w:hAnsi="宋体" w:cs="宋体"/>
          <w:color w:val="000000"/>
          <w:sz w:val="24"/>
          <w:szCs w:val="24"/>
        </w:rPr>
        <w:t>人民法院起诉。</w:t>
      </w:r>
      <w:bookmarkEnd w:id="594"/>
      <w:bookmarkEnd w:id="595"/>
      <w:bookmarkEnd w:id="596"/>
      <w:bookmarkEnd w:id="597"/>
      <w:bookmarkEnd w:id="598"/>
      <w:bookmarkEnd w:id="599"/>
    </w:p>
    <w:p>
      <w:pPr>
        <w:pStyle w:val="20"/>
        <w:keepNext/>
        <w:keepLines/>
        <w:bidi w:val="0"/>
        <w:spacing w:line="500" w:lineRule="exact"/>
        <w:outlineLvl w:val="3"/>
        <w:rPr>
          <w:rStyle w:val="14"/>
          <w:rFonts w:ascii="宋体" w:hAnsi="宋体" w:cs="宋体"/>
          <w:bCs/>
          <w:color w:val="000000"/>
          <w:sz w:val="24"/>
          <w:szCs w:val="24"/>
        </w:rPr>
      </w:pPr>
      <w:r>
        <w:rPr>
          <w:rStyle w:val="14"/>
          <w:rFonts w:hint="eastAsia" w:ascii="宋体" w:hAnsi="宋体" w:cs="宋体"/>
          <w:bCs/>
          <w:color w:val="000000"/>
          <w:sz w:val="24"/>
          <w:szCs w:val="24"/>
        </w:rPr>
        <w:t>20、补充条款</w:t>
      </w:r>
    </w:p>
    <w:p>
      <w:pPr>
        <w:pStyle w:val="25"/>
        <w:bidi w:val="0"/>
        <w:spacing w:line="500" w:lineRule="exact"/>
        <w:ind w:firstLine="412"/>
        <w:rPr>
          <w:rStyle w:val="14"/>
          <w:rFonts w:ascii="宋体" w:hAnsi="宋体" w:cs="宋体"/>
          <w:color w:val="000000"/>
          <w:sz w:val="24"/>
        </w:rPr>
      </w:pPr>
      <w:r>
        <w:rPr>
          <w:rStyle w:val="14"/>
          <w:rFonts w:hint="eastAsia" w:ascii="宋体" w:hAnsi="宋体" w:cs="宋体"/>
          <w:color w:val="000000"/>
          <w:sz w:val="24"/>
        </w:rPr>
        <w:t>21.1</w:t>
      </w:r>
      <w:r>
        <w:rPr>
          <w:rStyle w:val="14"/>
          <w:rFonts w:hint="eastAsia" w:ascii="宋体" w:hAnsi="宋体" w:cs="宋体"/>
          <w:color w:val="000000"/>
          <w:sz w:val="24"/>
          <w:u w:val="single"/>
        </w:rPr>
        <w:t>本工程项目管理机构人员必须保证在施工现场（特殊情况下需离开时，承包人应事先临时委派同等资质、技术能力的人员书面报发包人同意后方可离开），凡发包人考勤、考核点名时不在岗的（含会议前的考核点名），每人每次交违约金1000元；擅自离岗超过2小时的，每人每次交违约金2000元；擅自离岗超过4小时的，每人每次交违约金4000元；以上情况累计5次及以上，发包人并有权终止合同、没收履约保证金、停止支付工程款。</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21.2承包人施工过程中如使用农民工的，要保证不拖欠农民工工资，并使用银行卡支付农民工工资。如发包人收到对承包人拖欠农民工工资的举报，发包人有权从工程款中暂扣部分做为农民工工资保证金，待弄清原因，分清责任，承包人支付完农民工工资后返还。必要时</w:t>
      </w:r>
      <w:r>
        <w:rPr>
          <w:rStyle w:val="14"/>
          <w:rFonts w:ascii="宋体" w:hAnsi="宋体" w:cs="宋体"/>
          <w:color w:val="000000"/>
          <w:sz w:val="24"/>
        </w:rPr>
        <w:t>，</w:t>
      </w:r>
      <w:r>
        <w:rPr>
          <w:rStyle w:val="14"/>
          <w:rFonts w:hint="eastAsia" w:ascii="宋体" w:hAnsi="宋体" w:cs="宋体"/>
          <w:color w:val="000000"/>
          <w:sz w:val="24"/>
        </w:rPr>
        <w:t>发包人从工程款中直接支付拖欠的农民工工资。</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21.3特别约定：</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21.3.1 本工程的最终结算价以第三方审计公司出具的审计报告为准，合同价、暂估价、变更部分等都必须报送进行全面审计，若承包人不配合审计，发包人有权停止付款而不承担任何责任。</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21.3.2根据苏价服[2014]383号《省物价局、省住房和城乡建设厅关于规范工程造价咨询服务收费标准及有关事项的通知》文件精神，结合项目实际情况，约定：1、竣工工程结算审核的基本收费（送审建安工程造价）由建设单位承担；2、工程结算审计费用：如核减额率低于3%（含3%）由建设方承担全部审计费，如核减额率高于3%由施工方承担全部审计费。</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21.3.3本合同约定的工期为不变工期，无法定或书面约定的情况下不得改变。</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21.3.4本工程施工准备时间为合同签订后3天。</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21.4串通投标</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21.4.1承包人被举报或经核查发现其存在法律法规所列串通投标或弄虚作假情形的，发包人应书面告知承包人。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21.4.2承包人应在接到发包人书面告知后7日内，向发包人提供相关举证材料。如承包人未能在规定时间内举证或其举证材料不足以排除其存在串通投标和弄虚作假行为的，均视同承包人存在违约责任，承包人应向发包人支付不低于合同金额3%的违约金。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21.4.3承包人存在串通投标或弄虚作假行为，被行政监督部门查处并依法作出行政处罚的，不影响合同违约责任履行，承包人仍须按合同约定向发包人支付违约金。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21.4.4承包人应按照投标承诺和备案合同约定派驻现场技术、经济管理人员，并确保项目管理机构主要成员常驻施工现场，原则上不得调整；确需调整的，需经发包人同意。发包人有权在进场施工前严格核对进场施工队伍，承包人擅自改变项目负责人及主要管理人员的，一律不得进场施工。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21.4.5承包人存在合同违约行为的，应按合同约定向发包人支付违约金。发包人应优先通过工程款结算方式，将承包人应支付的违约金扣除，不得从承包人提交的履约保证金中扣除。发包人应同时将承包人违约处理情况及时报送相关行政监督部门。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21.5农民工工资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21.5.1施工企业（包括施工总承包企业和分包企业，下同）按照《江苏省工程建设领域农民工工资支付管理办法》规定的标准缴纳农民工工资保证金。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21.5.2施工企业应在工程项目所在地银行开设农民工工资专用账户，专项用于支付农民共工资。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21.5.3施工企业保证不克扣和拖欠工资，不以发包人拖欠工程款为由拖欠农民工工资。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21.5.4实行人工费用与其他工程款分款管理制度，推动农民工工资与工程材料款等相分离，建设方（发包人）须按时足额按合同约定向农民工工资专用账户存入工程款项，用于支付农民工工资。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21.5.5施工方（承包人）应主动将农民工工资发放情况表报建设方（发包人）审定。建设方（发包人）应对施工方（承包人）实施支付农民工工资情况进行审查。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21.5.6施工方（承包人）未按上述21.5.1、21.5.2、21.5.3款规定履行合同义务的，应承担合同违约责任，并向建设方（发包人）支付实际拖欠农民工工资总额2倍的违约金。建设方（发包人）未按上述21.5.4款规定履行合同义务的，应承担合同违约责任，并向施工方（承包人）支付实际拖欠农民工工资总额2倍的违约金。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21.6转包违法分包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21.6.1发包人承诺按照法律法规履行项目审批手续、筹集工程建设资金并按照合同约定的期限和方式支付合同价款；承包人承诺按照法律规定及合同约定组织完成工程施工，确保工程质量和安全，不进行转包及违法分包，并在缺陷责任期及保修期内承担相应的工程维修贵任。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21.6.2转包、违法分包违约贵任。承包人不得将承包工程进行转包或违法分包。经核查,发现承包人存在法律法规及«建筑工程施工转包违法分包等违法行为认定查处管理办法(试行) »(建市〔2o14〕118号)第七条、第九条规定的转包、违法分包情形的,发包人应书面告知承包入。承包人应在接到书面告知后7日内,向发包人提供相关证明材料。承包人未能在规定时问内举证或其证明材料不足以排除承包人存在转包、 违法分包行为的,视同承包人存在违约责任,承包人应向发包人支付不低于合同金额2%的违约金(发包人可根据工程具体规模适当调整违约金比例) ,并视情况制止分包行为。承包人存在转包、违法分包行为,被行政监管部门查处并依法作出行政处罚的,不影响合同违约责任履行, 承包人仍须按合同约定向发包人支付违约金。承包人将工程转包或违法分包的, 发包人有权终止合同。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21.7环境保护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21.7.1项日开工前</w:t>
      </w:r>
      <w:r>
        <w:rPr>
          <w:rStyle w:val="14"/>
          <w:rFonts w:ascii="宋体" w:hAnsi="宋体" w:cs="宋体"/>
          <w:color w:val="000000"/>
          <w:sz w:val="24"/>
        </w:rPr>
        <w:t>，</w:t>
      </w:r>
      <w:r>
        <w:rPr>
          <w:rStyle w:val="14"/>
          <w:rFonts w:hint="eastAsia" w:ascii="宋体" w:hAnsi="宋体" w:cs="宋体"/>
          <w:color w:val="000000"/>
          <w:sz w:val="24"/>
        </w:rPr>
        <w:t xml:space="preserve">施工方(承包人)主动履行污染物排放申报制度, 积极完善各项申报手续。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21.7.2禁止违法夜间施工</w:t>
      </w:r>
      <w:r>
        <w:rPr>
          <w:rStyle w:val="14"/>
          <w:rFonts w:ascii="宋体" w:hAnsi="宋体" w:cs="宋体"/>
          <w:color w:val="000000"/>
          <w:sz w:val="24"/>
        </w:rPr>
        <w:t>，</w:t>
      </w:r>
      <w:r>
        <w:rPr>
          <w:rStyle w:val="14"/>
          <w:rFonts w:hint="eastAsia" w:ascii="宋体" w:hAnsi="宋体" w:cs="宋体"/>
          <w:color w:val="000000"/>
          <w:sz w:val="24"/>
        </w:rPr>
        <w:t xml:space="preserve">杜绝集声扰民现象发生。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21.7.3施工、作业现场采取隔离洒水、围挡、场地硬化、料场遮盖等措施,防止扬生污染。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21.7.4商品混凝土、建筑物料、垃圾、渣土运输车辆密闭、进出施工现场进行冲洗,严防沿途抛洒、扬散。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21.7.5项目建设方(发包人)在履行环境保护责任的同时,应督促施工方(承包人)采取环境保护各项措施;施工方(承包人)应主动积极配合建设方(发包人)依法完善各项环保手续并规范施工,杜绝环境污染及扰民现象发生。施工方(承包人)违反本条规定情形的,每发生一次应向建设方(发包人)支付1万元至5万元违约金。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项目建筑物料供应、渣土运输等服务方(承包人)在物料供应、运输服务过程中</w:t>
      </w:r>
      <w:r>
        <w:rPr>
          <w:rStyle w:val="14"/>
          <w:rFonts w:ascii="宋体" w:hAnsi="宋体" w:cs="宋体"/>
          <w:color w:val="000000"/>
          <w:sz w:val="24"/>
        </w:rPr>
        <w:t>，</w:t>
      </w:r>
      <w:r>
        <w:rPr>
          <w:rStyle w:val="14"/>
          <w:rFonts w:hint="eastAsia" w:ascii="宋体" w:hAnsi="宋体" w:cs="宋体"/>
          <w:color w:val="000000"/>
          <w:sz w:val="24"/>
        </w:rPr>
        <w:t>违反本条规定情形,导致建筑物料、渣土等沿途批洒、扬散的</w:t>
      </w:r>
      <w:r>
        <w:rPr>
          <w:rStyle w:val="14"/>
          <w:rFonts w:ascii="宋体" w:hAnsi="宋体" w:cs="宋体"/>
          <w:color w:val="000000"/>
          <w:sz w:val="24"/>
        </w:rPr>
        <w:t>，</w:t>
      </w:r>
      <w:r>
        <w:rPr>
          <w:rStyle w:val="14"/>
          <w:rFonts w:hint="eastAsia" w:ascii="宋体" w:hAnsi="宋体" w:cs="宋体"/>
          <w:color w:val="000000"/>
          <w:sz w:val="24"/>
        </w:rPr>
        <w:t xml:space="preserve">应向建设方(发包人)支付1万元至5万元违约金。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21.7.6应严格連守环境保护各项法律法规,切实履行环境保护主体责任。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21.7.7须符合园区产业定位, 满足园区规划环评要求。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21.7.8不得未批先建或建设内容与环评批复不符。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21.7.9各项污处设施应与主体工程同时设计、同时施工同时投入使用 。 </w:t>
      </w:r>
    </w:p>
    <w:p>
      <w:pPr>
        <w:pStyle w:val="25"/>
        <w:widowControl/>
        <w:bidi w:val="0"/>
        <w:snapToGrid w:val="0"/>
        <w:spacing w:line="500" w:lineRule="exact"/>
        <w:ind w:firstLine="420"/>
        <w:jc w:val="left"/>
        <w:rPr>
          <w:rStyle w:val="14"/>
          <w:rFonts w:ascii="宋体" w:hAnsi="宋体" w:cs="宋体"/>
          <w:color w:val="000000"/>
          <w:sz w:val="24"/>
        </w:rPr>
      </w:pPr>
      <w:r>
        <w:rPr>
          <w:rStyle w:val="14"/>
          <w:rFonts w:hint="eastAsia" w:ascii="宋体" w:hAnsi="宋体" w:cs="宋体"/>
          <w:color w:val="000000"/>
          <w:sz w:val="24"/>
        </w:rPr>
        <w:t xml:space="preserve">21.7.10须加强各项污处设施运营维护,保持正常运行。 </w:t>
      </w:r>
    </w:p>
    <w:p>
      <w:pPr>
        <w:pStyle w:val="25"/>
        <w:bidi w:val="0"/>
        <w:spacing w:line="360" w:lineRule="exact"/>
        <w:ind w:firstLine="360" w:firstLineChars="150"/>
        <w:jc w:val="left"/>
        <w:rPr>
          <w:rStyle w:val="14"/>
          <w:rFonts w:ascii="宋体" w:hAnsi="宋体" w:cs="宋体"/>
          <w:color w:val="000000"/>
          <w:sz w:val="24"/>
          <w:highlight w:val="none"/>
        </w:rPr>
      </w:pPr>
      <w:r>
        <w:rPr>
          <w:rStyle w:val="14"/>
          <w:rFonts w:hint="eastAsia" w:ascii="宋体" w:hAnsi="宋体" w:cs="宋体"/>
          <w:color w:val="000000"/>
          <w:sz w:val="24"/>
          <w:highlight w:val="none"/>
        </w:rPr>
        <w:t>21.7.11本项目采用智慧工地管理方式。</w:t>
      </w: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hint="eastAsia" w:ascii="仿宋" w:hAnsi="仿宋" w:eastAsia="仿宋"/>
          <w:color w:val="000000"/>
          <w:sz w:val="24"/>
          <w:szCs w:val="24"/>
        </w:rPr>
      </w:pPr>
    </w:p>
    <w:p>
      <w:pPr>
        <w:pStyle w:val="20"/>
        <w:bidi w:val="0"/>
        <w:spacing w:line="360" w:lineRule="exact"/>
        <w:rPr>
          <w:rStyle w:val="14"/>
          <w:rFonts w:ascii="仿宋" w:hAnsi="仿宋" w:eastAsia="仿宋"/>
          <w:color w:val="000000"/>
          <w:sz w:val="24"/>
          <w:szCs w:val="24"/>
        </w:rPr>
      </w:pPr>
      <w:r>
        <w:rPr>
          <w:rStyle w:val="14"/>
          <w:rFonts w:hint="eastAsia" w:ascii="仿宋" w:hAnsi="仿宋" w:eastAsia="仿宋"/>
          <w:color w:val="000000"/>
          <w:sz w:val="24"/>
          <w:szCs w:val="24"/>
        </w:rPr>
        <w:t>附</w:t>
      </w:r>
      <w:bookmarkStart w:id="606" w:name="_Toc296346727"/>
      <w:bookmarkStart w:id="607" w:name="_Toc296891266"/>
      <w:bookmarkStart w:id="608" w:name="_Toc296891054"/>
      <w:bookmarkStart w:id="609" w:name="_Toc296944565"/>
      <w:bookmarkStart w:id="610" w:name="_Toc267261693"/>
      <w:bookmarkStart w:id="611" w:name="_Toc296347225"/>
      <w:bookmarkStart w:id="612" w:name="_Toc296503226"/>
      <w:r>
        <w:rPr>
          <w:rStyle w:val="14"/>
          <w:rFonts w:hint="eastAsia" w:ascii="仿宋" w:hAnsi="仿宋" w:eastAsia="仿宋"/>
          <w:color w:val="000000"/>
          <w:sz w:val="24"/>
          <w:szCs w:val="24"/>
        </w:rPr>
        <w:t>件：</w:t>
      </w:r>
      <w:bookmarkEnd w:id="606"/>
      <w:bookmarkEnd w:id="607"/>
      <w:bookmarkEnd w:id="608"/>
      <w:bookmarkEnd w:id="609"/>
      <w:bookmarkEnd w:id="610"/>
      <w:bookmarkEnd w:id="611"/>
      <w:bookmarkEnd w:id="612"/>
      <w:r>
        <w:rPr>
          <w:rStyle w:val="14"/>
          <w:rFonts w:ascii="仿宋" w:hAnsi="仿宋" w:eastAsia="仿宋"/>
          <w:color w:val="000000"/>
          <w:sz w:val="24"/>
          <w:szCs w:val="24"/>
        </w:rPr>
        <w:t xml:space="preserve">    </w:t>
      </w:r>
    </w:p>
    <w:p>
      <w:pPr>
        <w:pStyle w:val="20"/>
        <w:bidi w:val="0"/>
        <w:spacing w:line="440" w:lineRule="exact"/>
        <w:ind w:firstLine="640"/>
        <w:jc w:val="center"/>
        <w:rPr>
          <w:rStyle w:val="14"/>
          <w:rFonts w:ascii="仿宋" w:hAnsi="仿宋" w:eastAsia="仿宋"/>
          <w:color w:val="000000"/>
          <w:sz w:val="32"/>
          <w:szCs w:val="32"/>
        </w:rPr>
      </w:pPr>
      <w:r>
        <w:rPr>
          <w:rStyle w:val="14"/>
          <w:rFonts w:ascii="仿宋" w:hAnsi="仿宋" w:eastAsia="仿宋"/>
          <w:color w:val="000000"/>
          <w:sz w:val="32"/>
          <w:szCs w:val="32"/>
        </w:rPr>
        <w:t>工程质量保修书</w:t>
      </w:r>
    </w:p>
    <w:p>
      <w:pPr>
        <w:pStyle w:val="20"/>
        <w:bidi w:val="0"/>
        <w:spacing w:line="500" w:lineRule="exact"/>
        <w:rPr>
          <w:rStyle w:val="14"/>
          <w:rFonts w:ascii="宋体" w:hAnsi="宋体" w:cs="宋体"/>
          <w:b/>
          <w:color w:val="000000"/>
          <w:sz w:val="24"/>
          <w:szCs w:val="24"/>
          <w:u w:val="single"/>
        </w:rPr>
      </w:pPr>
      <w:r>
        <w:rPr>
          <w:rStyle w:val="14"/>
          <w:rFonts w:hint="eastAsia" w:ascii="宋体" w:hAnsi="宋体" w:cs="宋体"/>
          <w:b/>
          <w:color w:val="000000"/>
          <w:sz w:val="24"/>
          <w:szCs w:val="24"/>
        </w:rPr>
        <w:t>发包人（全称）：</w:t>
      </w:r>
      <w:r>
        <w:rPr>
          <w:rStyle w:val="14"/>
          <w:rFonts w:hint="eastAsia" w:ascii="宋体" w:hAnsi="宋体" w:cs="宋体"/>
          <w:b/>
          <w:color w:val="000000"/>
          <w:sz w:val="24"/>
          <w:szCs w:val="24"/>
          <w:u w:val="single"/>
        </w:rPr>
        <w:t xml:space="preserve">宿迁市第一人民医院 </w:t>
      </w:r>
    </w:p>
    <w:p>
      <w:pPr>
        <w:pStyle w:val="20"/>
        <w:bidi w:val="0"/>
        <w:spacing w:line="500" w:lineRule="exact"/>
        <w:rPr>
          <w:rStyle w:val="14"/>
          <w:rFonts w:ascii="宋体" w:hAnsi="宋体" w:cs="宋体"/>
          <w:color w:val="000000"/>
          <w:sz w:val="24"/>
          <w:szCs w:val="24"/>
          <w:u w:val="single"/>
        </w:rPr>
      </w:pPr>
      <w:r>
        <w:rPr>
          <w:rStyle w:val="14"/>
          <w:rFonts w:hint="eastAsia" w:ascii="宋体" w:hAnsi="宋体" w:cs="宋体"/>
          <w:b/>
          <w:color w:val="000000"/>
          <w:sz w:val="24"/>
          <w:szCs w:val="24"/>
        </w:rPr>
        <w:t>承包人（全称）：</w:t>
      </w:r>
      <w:r>
        <w:rPr>
          <w:rStyle w:val="14"/>
          <w:rFonts w:hint="eastAsia" w:ascii="宋体" w:hAnsi="宋体" w:cs="宋体"/>
          <w:b/>
          <w:color w:val="000000"/>
          <w:sz w:val="24"/>
          <w:szCs w:val="24"/>
          <w:u w:val="single"/>
        </w:rPr>
        <w:t xml:space="preserve">                   </w:t>
      </w:r>
    </w:p>
    <w:p>
      <w:pPr>
        <w:pStyle w:val="20"/>
        <w:bidi w:val="0"/>
        <w:spacing w:line="440" w:lineRule="exact"/>
        <w:rPr>
          <w:rStyle w:val="14"/>
          <w:rFonts w:ascii="宋体" w:hAnsi="宋体" w:cs="宋体"/>
          <w:color w:val="000000"/>
          <w:sz w:val="24"/>
          <w:szCs w:val="24"/>
        </w:rPr>
      </w:pPr>
      <w:r>
        <w:rPr>
          <w:rStyle w:val="14"/>
          <w:rFonts w:hint="eastAsia" w:ascii="宋体" w:hAnsi="宋体" w:cs="宋体"/>
          <w:color w:val="000000"/>
          <w:sz w:val="24"/>
          <w:szCs w:val="24"/>
        </w:rPr>
        <w:t>　　发包人和承包人根据《中华人民共和国建筑法》和《建设工程质量管理条例》，经协商一致就</w:t>
      </w:r>
      <w:r>
        <w:rPr>
          <w:rStyle w:val="14"/>
          <w:rFonts w:hint="eastAsia" w:ascii="宋体" w:hAnsi="宋体" w:cs="宋体"/>
          <w:color w:val="000000"/>
          <w:sz w:val="24"/>
          <w:szCs w:val="24"/>
          <w:u w:val="single"/>
          <w:lang w:eastAsia="zh-CN"/>
        </w:rPr>
        <w:t>宿迁市第一人民医院综合楼大厅干挂壁瓷砖改造及感染楼干挂壁瓷砖加固工程</w:t>
      </w:r>
      <w:r>
        <w:rPr>
          <w:rStyle w:val="14"/>
          <w:rFonts w:hint="eastAsia" w:ascii="宋体" w:hAnsi="宋体" w:cs="宋体"/>
          <w:color w:val="000000"/>
          <w:sz w:val="24"/>
          <w:szCs w:val="24"/>
        </w:rPr>
        <w:t>（工程全称）签订工程质量保修书。</w:t>
      </w:r>
    </w:p>
    <w:p>
      <w:pPr>
        <w:pStyle w:val="20"/>
        <w:bidi w:val="0"/>
        <w:spacing w:line="440" w:lineRule="exact"/>
        <w:outlineLvl w:val="0"/>
        <w:rPr>
          <w:rStyle w:val="14"/>
          <w:rFonts w:ascii="宋体" w:hAnsi="宋体" w:cs="宋体"/>
          <w:color w:val="000000"/>
          <w:sz w:val="24"/>
          <w:szCs w:val="24"/>
        </w:rPr>
      </w:pPr>
      <w:r>
        <w:rPr>
          <w:rStyle w:val="14"/>
          <w:rFonts w:hint="eastAsia" w:ascii="宋体" w:hAnsi="宋体" w:cs="宋体"/>
          <w:color w:val="000000"/>
          <w:sz w:val="24"/>
          <w:szCs w:val="24"/>
        </w:rPr>
        <w:t>　　　</w:t>
      </w:r>
      <w:bookmarkStart w:id="613" w:name="_Toc5799276"/>
      <w:bookmarkStart w:id="614" w:name="_Toc18514"/>
      <w:bookmarkStart w:id="615" w:name="_Toc256000101"/>
      <w:bookmarkStart w:id="616" w:name="_Toc256000166"/>
      <w:r>
        <w:rPr>
          <w:rStyle w:val="14"/>
          <w:rFonts w:hint="eastAsia" w:ascii="宋体" w:hAnsi="宋体" w:cs="宋体"/>
          <w:color w:val="000000"/>
          <w:sz w:val="24"/>
          <w:szCs w:val="24"/>
        </w:rPr>
        <w:t>一、工程质量保修范围和内容</w:t>
      </w:r>
      <w:bookmarkEnd w:id="613"/>
      <w:bookmarkEnd w:id="614"/>
      <w:bookmarkEnd w:id="615"/>
      <w:bookmarkEnd w:id="616"/>
    </w:p>
    <w:p>
      <w:pPr>
        <w:pStyle w:val="20"/>
        <w:bidi w:val="0"/>
        <w:spacing w:line="440" w:lineRule="exact"/>
        <w:rPr>
          <w:rStyle w:val="14"/>
          <w:rFonts w:ascii="宋体" w:hAnsi="宋体" w:cs="宋体"/>
          <w:color w:val="000000"/>
          <w:sz w:val="24"/>
          <w:szCs w:val="24"/>
        </w:rPr>
      </w:pPr>
      <w:r>
        <w:rPr>
          <w:rStyle w:val="14"/>
          <w:rFonts w:hint="eastAsia" w:ascii="宋体" w:hAnsi="宋体" w:cs="宋体"/>
          <w:color w:val="000000"/>
          <w:sz w:val="24"/>
          <w:szCs w:val="24"/>
        </w:rPr>
        <w:t>　　承包人在质量保修期内，按照有关法律规定和合同约定，承担工程质量保修责任。</w:t>
      </w:r>
    </w:p>
    <w:p>
      <w:pPr>
        <w:pStyle w:val="20"/>
        <w:bidi w:val="0"/>
        <w:spacing w:line="440" w:lineRule="exact"/>
        <w:rPr>
          <w:rStyle w:val="14"/>
          <w:rFonts w:ascii="宋体" w:hAnsi="宋体" w:cs="宋体"/>
          <w:color w:val="000000"/>
          <w:sz w:val="24"/>
          <w:szCs w:val="24"/>
        </w:rPr>
      </w:pPr>
      <w:r>
        <w:rPr>
          <w:rStyle w:val="14"/>
          <w:rFonts w:hint="eastAsia" w:ascii="宋体" w:hAnsi="宋体" w:cs="宋体"/>
          <w:color w:val="000000"/>
          <w:sz w:val="24"/>
          <w:szCs w:val="24"/>
        </w:rPr>
        <w:t>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Style w:val="20"/>
        <w:bidi w:val="0"/>
        <w:spacing w:line="440" w:lineRule="exact"/>
        <w:outlineLvl w:val="0"/>
        <w:rPr>
          <w:rStyle w:val="14"/>
          <w:rFonts w:ascii="宋体" w:hAnsi="宋体" w:cs="宋体"/>
          <w:color w:val="000000"/>
          <w:sz w:val="24"/>
          <w:szCs w:val="24"/>
        </w:rPr>
      </w:pPr>
      <w:r>
        <w:rPr>
          <w:rStyle w:val="14"/>
          <w:rFonts w:hint="eastAsia" w:ascii="宋体" w:hAnsi="宋体" w:cs="宋体"/>
          <w:b/>
          <w:color w:val="000000"/>
          <w:sz w:val="24"/>
          <w:szCs w:val="24"/>
        </w:rPr>
        <w:t>　　</w:t>
      </w:r>
      <w:bookmarkStart w:id="617" w:name="_Toc4968"/>
      <w:bookmarkStart w:id="618" w:name="_Toc5799277"/>
      <w:bookmarkStart w:id="619" w:name="_Toc256000102"/>
      <w:bookmarkStart w:id="620" w:name="_Toc256000167"/>
      <w:r>
        <w:rPr>
          <w:rStyle w:val="14"/>
          <w:rFonts w:hint="eastAsia" w:ascii="宋体" w:hAnsi="宋体" w:cs="宋体"/>
          <w:color w:val="000000"/>
          <w:sz w:val="24"/>
          <w:szCs w:val="24"/>
        </w:rPr>
        <w:t>二、质量保修期</w:t>
      </w:r>
      <w:bookmarkEnd w:id="617"/>
      <w:bookmarkEnd w:id="618"/>
      <w:bookmarkEnd w:id="619"/>
      <w:bookmarkEnd w:id="620"/>
    </w:p>
    <w:p>
      <w:pPr>
        <w:pStyle w:val="20"/>
        <w:bidi w:val="0"/>
        <w:spacing w:line="44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根据《建设工程质量管理条例》及有关规定，工程的质量保修期如下：</w:t>
      </w:r>
    </w:p>
    <w:p>
      <w:pPr>
        <w:pStyle w:val="20"/>
        <w:bidi w:val="0"/>
        <w:spacing w:line="44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1．地基基础工程和主体结构工程为设计文件规定的工程合理使用年限；</w:t>
      </w:r>
    </w:p>
    <w:p>
      <w:pPr>
        <w:pStyle w:val="20"/>
        <w:bidi w:val="0"/>
        <w:spacing w:line="44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2．屋面防水工程、有防水要求的卫生间、房间和外墙面的防渗为</w:t>
      </w:r>
      <w:r>
        <w:rPr>
          <w:rStyle w:val="14"/>
          <w:rFonts w:hint="eastAsia" w:ascii="宋体" w:hAnsi="宋体" w:cs="宋体"/>
          <w:color w:val="000000"/>
          <w:sz w:val="24"/>
          <w:szCs w:val="24"/>
          <w:u w:val="single"/>
        </w:rPr>
        <w:t xml:space="preserve">   5   </w:t>
      </w:r>
      <w:r>
        <w:rPr>
          <w:rStyle w:val="14"/>
          <w:rFonts w:hint="eastAsia" w:ascii="宋体" w:hAnsi="宋体" w:cs="宋体"/>
          <w:color w:val="000000"/>
          <w:sz w:val="24"/>
          <w:szCs w:val="24"/>
        </w:rPr>
        <w:t>年；</w:t>
      </w:r>
    </w:p>
    <w:p>
      <w:pPr>
        <w:pStyle w:val="20"/>
        <w:bidi w:val="0"/>
        <w:spacing w:line="44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3．装修工程为</w:t>
      </w:r>
      <w:r>
        <w:rPr>
          <w:rStyle w:val="14"/>
          <w:rFonts w:hint="eastAsia" w:ascii="宋体" w:hAnsi="宋体" w:cs="宋体"/>
          <w:color w:val="000000"/>
          <w:sz w:val="24"/>
          <w:szCs w:val="24"/>
          <w:u w:val="single"/>
        </w:rPr>
        <w:t xml:space="preserve">  2  </w:t>
      </w:r>
      <w:r>
        <w:rPr>
          <w:rStyle w:val="14"/>
          <w:rFonts w:hint="eastAsia" w:ascii="宋体" w:hAnsi="宋体" w:cs="宋体"/>
          <w:color w:val="000000"/>
          <w:sz w:val="24"/>
          <w:szCs w:val="24"/>
        </w:rPr>
        <w:t>年；</w:t>
      </w:r>
    </w:p>
    <w:p>
      <w:pPr>
        <w:pStyle w:val="20"/>
        <w:bidi w:val="0"/>
        <w:spacing w:line="44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4．电气管线、给排水管道、设备安装工程为</w:t>
      </w:r>
      <w:r>
        <w:rPr>
          <w:rStyle w:val="14"/>
          <w:rFonts w:hint="eastAsia" w:ascii="宋体" w:hAnsi="宋体" w:cs="宋体"/>
          <w:color w:val="000000"/>
          <w:sz w:val="24"/>
          <w:szCs w:val="24"/>
          <w:u w:val="single"/>
        </w:rPr>
        <w:t xml:space="preserve">  2   </w:t>
      </w:r>
      <w:r>
        <w:rPr>
          <w:rStyle w:val="14"/>
          <w:rFonts w:hint="eastAsia" w:ascii="宋体" w:hAnsi="宋体" w:cs="宋体"/>
          <w:color w:val="000000"/>
          <w:sz w:val="24"/>
          <w:szCs w:val="24"/>
        </w:rPr>
        <w:t>年；</w:t>
      </w:r>
    </w:p>
    <w:p>
      <w:pPr>
        <w:pStyle w:val="20"/>
        <w:bidi w:val="0"/>
        <w:spacing w:line="44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5．供热与供冷系统为</w:t>
      </w:r>
      <w:r>
        <w:rPr>
          <w:rStyle w:val="14"/>
          <w:rFonts w:hint="eastAsia" w:ascii="宋体" w:hAnsi="宋体" w:cs="宋体"/>
          <w:color w:val="000000"/>
          <w:sz w:val="24"/>
          <w:szCs w:val="24"/>
          <w:u w:val="single"/>
        </w:rPr>
        <w:t xml:space="preserve"> 2  </w:t>
      </w:r>
      <w:r>
        <w:rPr>
          <w:rStyle w:val="14"/>
          <w:rFonts w:hint="eastAsia" w:ascii="宋体" w:hAnsi="宋体" w:cs="宋体"/>
          <w:color w:val="000000"/>
          <w:sz w:val="24"/>
          <w:szCs w:val="24"/>
        </w:rPr>
        <w:t>个采暖期、供冷期；</w:t>
      </w:r>
    </w:p>
    <w:p>
      <w:pPr>
        <w:pStyle w:val="20"/>
        <w:bidi w:val="0"/>
        <w:spacing w:line="44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6．住宅小区内的给排水设施、道路等配套工程为</w:t>
      </w:r>
      <w:r>
        <w:rPr>
          <w:rStyle w:val="14"/>
          <w:rFonts w:hint="eastAsia" w:ascii="宋体" w:hAnsi="宋体" w:cs="宋体"/>
          <w:color w:val="000000"/>
          <w:sz w:val="24"/>
          <w:szCs w:val="24"/>
          <w:u w:val="single"/>
        </w:rPr>
        <w:t xml:space="preserve"> 2   </w:t>
      </w:r>
      <w:r>
        <w:rPr>
          <w:rStyle w:val="14"/>
          <w:rFonts w:hint="eastAsia" w:ascii="宋体" w:hAnsi="宋体" w:cs="宋体"/>
          <w:color w:val="000000"/>
          <w:sz w:val="24"/>
          <w:szCs w:val="24"/>
        </w:rPr>
        <w:t>年；</w:t>
      </w:r>
    </w:p>
    <w:p>
      <w:pPr>
        <w:pStyle w:val="29"/>
        <w:bidi w:val="0"/>
        <w:spacing w:line="44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7．其他项目保修期限约定如下：本项目所投设备的质保期为5年，其他未列明的工程清单均</w:t>
      </w:r>
      <w:r>
        <w:rPr>
          <w:rStyle w:val="14"/>
          <w:rFonts w:hint="eastAsia" w:ascii="宋体" w:hAnsi="宋体" w:cs="宋体"/>
          <w:color w:val="000000"/>
          <w:sz w:val="24"/>
          <w:szCs w:val="24"/>
          <w:u w:val="single"/>
        </w:rPr>
        <w:t>按照国家《建设工程质量管理条例》执行，但不得少于2年</w:t>
      </w:r>
      <w:r>
        <w:rPr>
          <w:rStyle w:val="14"/>
          <w:rFonts w:hint="eastAsia" w:ascii="宋体" w:hAnsi="宋体" w:cs="宋体"/>
          <w:color w:val="000000"/>
          <w:sz w:val="24"/>
          <w:szCs w:val="24"/>
        </w:rPr>
        <w:t>。</w:t>
      </w:r>
    </w:p>
    <w:p>
      <w:pPr>
        <w:pStyle w:val="20"/>
        <w:bidi w:val="0"/>
        <w:spacing w:line="440" w:lineRule="exact"/>
        <w:rPr>
          <w:rStyle w:val="14"/>
          <w:rFonts w:ascii="宋体" w:hAnsi="宋体" w:cs="宋体"/>
          <w:color w:val="000000"/>
          <w:sz w:val="24"/>
          <w:szCs w:val="24"/>
        </w:rPr>
      </w:pPr>
      <w:r>
        <w:rPr>
          <w:rStyle w:val="14"/>
          <w:rFonts w:hint="eastAsia" w:ascii="宋体" w:hAnsi="宋体" w:cs="宋体"/>
          <w:color w:val="000000"/>
          <w:sz w:val="24"/>
          <w:szCs w:val="24"/>
        </w:rPr>
        <w:t>　　质量保修期自工程竣工验收合格之日起计算。</w:t>
      </w:r>
    </w:p>
    <w:p>
      <w:pPr>
        <w:pStyle w:val="20"/>
        <w:bidi w:val="0"/>
        <w:spacing w:line="440" w:lineRule="exact"/>
        <w:ind w:firstLine="480" w:firstLineChars="200"/>
        <w:outlineLvl w:val="0"/>
        <w:rPr>
          <w:rStyle w:val="14"/>
          <w:rFonts w:ascii="宋体" w:hAnsi="宋体" w:cs="宋体"/>
          <w:color w:val="000000"/>
          <w:sz w:val="24"/>
          <w:szCs w:val="24"/>
        </w:rPr>
      </w:pPr>
      <w:bookmarkStart w:id="621" w:name="_Toc12004"/>
      <w:bookmarkStart w:id="622" w:name="_Toc256000168"/>
      <w:bookmarkStart w:id="623" w:name="_Toc5799278"/>
      <w:bookmarkStart w:id="624" w:name="_Toc256000103"/>
      <w:r>
        <w:rPr>
          <w:rStyle w:val="14"/>
          <w:rFonts w:hint="eastAsia" w:ascii="宋体" w:hAnsi="宋体" w:cs="宋体"/>
          <w:color w:val="000000"/>
          <w:sz w:val="24"/>
          <w:szCs w:val="24"/>
        </w:rPr>
        <w:t>三、缺陷责任期</w:t>
      </w:r>
      <w:bookmarkEnd w:id="621"/>
      <w:bookmarkEnd w:id="622"/>
      <w:bookmarkEnd w:id="623"/>
      <w:bookmarkEnd w:id="624"/>
    </w:p>
    <w:p>
      <w:pPr>
        <w:pStyle w:val="20"/>
        <w:bidi w:val="0"/>
        <w:spacing w:line="44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工程缺陷责任期为</w:t>
      </w:r>
      <w:r>
        <w:rPr>
          <w:rStyle w:val="14"/>
          <w:rFonts w:hint="eastAsia" w:ascii="宋体" w:hAnsi="宋体" w:cs="宋体"/>
          <w:color w:val="000000"/>
          <w:sz w:val="24"/>
          <w:szCs w:val="24"/>
          <w:u w:val="single"/>
        </w:rPr>
        <w:t xml:space="preserve"> </w:t>
      </w:r>
      <w:r>
        <w:rPr>
          <w:rStyle w:val="14"/>
          <w:rFonts w:hint="eastAsia" w:ascii="宋体" w:hAnsi="宋体" w:cs="宋体"/>
          <w:color w:val="000000"/>
          <w:sz w:val="24"/>
          <w:szCs w:val="24"/>
          <w:u w:val="single"/>
          <w:lang w:val="en-US" w:eastAsia="zh-CN"/>
        </w:rPr>
        <w:t>36</w:t>
      </w:r>
      <w:r>
        <w:rPr>
          <w:rStyle w:val="14"/>
          <w:rFonts w:hint="eastAsia" w:ascii="宋体" w:hAnsi="宋体" w:cs="宋体"/>
          <w:color w:val="000000"/>
          <w:sz w:val="24"/>
          <w:szCs w:val="24"/>
          <w:u w:val="single"/>
        </w:rPr>
        <w:t xml:space="preserve">  </w:t>
      </w:r>
      <w:r>
        <w:rPr>
          <w:rStyle w:val="14"/>
          <w:rFonts w:hint="eastAsia" w:ascii="宋体" w:hAnsi="宋体" w:cs="宋体"/>
          <w:color w:val="000000"/>
          <w:sz w:val="24"/>
          <w:szCs w:val="24"/>
        </w:rPr>
        <w:t>个月，缺陷责任期自工程通过竣工验收之日起计算。单位工程先于全部工程进行验收，单位工程缺陷责任期自单位工程验收合格之日起算。</w:t>
      </w:r>
    </w:p>
    <w:p>
      <w:pPr>
        <w:pStyle w:val="20"/>
        <w:bidi w:val="0"/>
        <w:spacing w:line="440" w:lineRule="exact"/>
        <w:ind w:firstLine="480" w:firstLineChars="200"/>
        <w:rPr>
          <w:rStyle w:val="14"/>
          <w:rFonts w:ascii="宋体" w:hAnsi="宋体" w:cs="宋体"/>
          <w:color w:val="000000"/>
          <w:sz w:val="24"/>
          <w:szCs w:val="24"/>
        </w:rPr>
      </w:pPr>
      <w:r>
        <w:rPr>
          <w:rStyle w:val="14"/>
          <w:rFonts w:hint="eastAsia" w:ascii="宋体" w:hAnsi="宋体" w:cs="宋体"/>
          <w:color w:val="000000"/>
          <w:sz w:val="24"/>
          <w:szCs w:val="24"/>
        </w:rPr>
        <w:t>缺陷责任期终止后，发包人应退还剩余的质量保证金。</w:t>
      </w:r>
    </w:p>
    <w:p>
      <w:pPr>
        <w:pStyle w:val="20"/>
        <w:bidi w:val="0"/>
        <w:spacing w:line="440" w:lineRule="exact"/>
        <w:outlineLvl w:val="0"/>
        <w:rPr>
          <w:rStyle w:val="14"/>
          <w:rFonts w:ascii="宋体" w:hAnsi="宋体" w:cs="宋体"/>
          <w:color w:val="000000"/>
          <w:sz w:val="24"/>
          <w:szCs w:val="24"/>
        </w:rPr>
      </w:pPr>
      <w:r>
        <w:rPr>
          <w:rStyle w:val="14"/>
          <w:rFonts w:hint="eastAsia" w:ascii="宋体" w:hAnsi="宋体" w:cs="宋体"/>
          <w:color w:val="000000"/>
          <w:sz w:val="24"/>
          <w:szCs w:val="24"/>
        </w:rPr>
        <w:t xml:space="preserve">    </w:t>
      </w:r>
      <w:bookmarkStart w:id="625" w:name="_Toc21417"/>
      <w:bookmarkStart w:id="626" w:name="_Toc5799279"/>
      <w:bookmarkStart w:id="627" w:name="_Toc256000104"/>
      <w:bookmarkStart w:id="628" w:name="_Toc256000169"/>
      <w:r>
        <w:rPr>
          <w:rStyle w:val="14"/>
          <w:rFonts w:hint="eastAsia" w:ascii="宋体" w:hAnsi="宋体" w:cs="宋体"/>
          <w:color w:val="000000"/>
          <w:sz w:val="24"/>
          <w:szCs w:val="24"/>
        </w:rPr>
        <w:t>四、质量保修责任</w:t>
      </w:r>
      <w:bookmarkEnd w:id="625"/>
      <w:bookmarkEnd w:id="626"/>
      <w:bookmarkEnd w:id="627"/>
      <w:bookmarkEnd w:id="628"/>
    </w:p>
    <w:p>
      <w:pPr>
        <w:pStyle w:val="20"/>
        <w:bidi w:val="0"/>
        <w:spacing w:line="440" w:lineRule="exact"/>
        <w:ind w:firstLine="491" w:firstLineChars="205"/>
        <w:rPr>
          <w:rStyle w:val="14"/>
          <w:rFonts w:ascii="宋体" w:hAnsi="宋体" w:cs="宋体"/>
          <w:color w:val="000000"/>
          <w:sz w:val="24"/>
          <w:szCs w:val="24"/>
        </w:rPr>
      </w:pPr>
      <w:r>
        <w:rPr>
          <w:rStyle w:val="14"/>
          <w:rFonts w:hint="eastAsia" w:ascii="宋体" w:hAnsi="宋体" w:cs="宋体"/>
          <w:color w:val="000000"/>
          <w:sz w:val="24"/>
          <w:szCs w:val="24"/>
        </w:rPr>
        <w:t>1．属于保修范围、内容的项目，承包人应当在接到保修通知之日起7天内派人保修。承包人不在约定期限内派人保修的，发包人可以委托他人修理。</w:t>
      </w:r>
    </w:p>
    <w:p>
      <w:pPr>
        <w:pStyle w:val="20"/>
        <w:bidi w:val="0"/>
        <w:spacing w:line="440" w:lineRule="exact"/>
        <w:ind w:firstLine="491" w:firstLineChars="205"/>
        <w:rPr>
          <w:rStyle w:val="14"/>
          <w:rFonts w:ascii="宋体" w:hAnsi="宋体" w:cs="宋体"/>
          <w:color w:val="000000"/>
          <w:sz w:val="24"/>
          <w:szCs w:val="24"/>
        </w:rPr>
      </w:pPr>
      <w:r>
        <w:rPr>
          <w:rStyle w:val="14"/>
          <w:rFonts w:hint="eastAsia" w:ascii="宋体" w:hAnsi="宋体" w:cs="宋体"/>
          <w:color w:val="000000"/>
          <w:sz w:val="24"/>
          <w:szCs w:val="24"/>
        </w:rPr>
        <w:t>2．发生紧急事故需抢修的，承包人在接到事故通知后，应当立即到达事故现场抢修。</w:t>
      </w:r>
    </w:p>
    <w:p>
      <w:pPr>
        <w:pStyle w:val="20"/>
        <w:bidi w:val="0"/>
        <w:spacing w:line="440" w:lineRule="exact"/>
        <w:ind w:firstLine="491" w:firstLineChars="205"/>
        <w:rPr>
          <w:rStyle w:val="14"/>
          <w:rFonts w:ascii="宋体" w:hAnsi="宋体" w:cs="宋体"/>
          <w:color w:val="000000"/>
          <w:sz w:val="24"/>
          <w:szCs w:val="24"/>
        </w:rPr>
      </w:pPr>
      <w:r>
        <w:rPr>
          <w:rStyle w:val="14"/>
          <w:rFonts w:hint="eastAsia" w:ascii="宋体" w:hAnsi="宋体" w:cs="宋体"/>
          <w:color w:val="000000"/>
          <w:sz w:val="24"/>
          <w:szCs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20"/>
        <w:bidi w:val="0"/>
        <w:spacing w:line="440" w:lineRule="exact"/>
        <w:ind w:firstLine="120" w:firstLineChars="50"/>
        <w:rPr>
          <w:rStyle w:val="14"/>
          <w:rFonts w:ascii="宋体" w:hAnsi="宋体" w:cs="宋体"/>
          <w:color w:val="000000"/>
          <w:sz w:val="24"/>
          <w:szCs w:val="24"/>
        </w:rPr>
      </w:pPr>
      <w:r>
        <w:rPr>
          <w:rStyle w:val="14"/>
          <w:rFonts w:hint="eastAsia" w:ascii="宋体" w:hAnsi="宋体" w:cs="宋体"/>
          <w:color w:val="000000"/>
          <w:sz w:val="24"/>
          <w:szCs w:val="24"/>
        </w:rPr>
        <w:t>4．质量保修完成后，由发包人组织验收。</w:t>
      </w:r>
    </w:p>
    <w:p>
      <w:pPr>
        <w:pStyle w:val="20"/>
        <w:bidi w:val="0"/>
        <w:spacing w:line="440" w:lineRule="exact"/>
        <w:outlineLvl w:val="0"/>
        <w:rPr>
          <w:rStyle w:val="14"/>
          <w:rFonts w:ascii="宋体" w:hAnsi="宋体" w:cs="宋体"/>
          <w:color w:val="000000"/>
          <w:sz w:val="24"/>
          <w:szCs w:val="24"/>
        </w:rPr>
      </w:pPr>
      <w:bookmarkStart w:id="629" w:name="_Toc256000105"/>
      <w:bookmarkStart w:id="630" w:name="_Toc256000170"/>
      <w:bookmarkStart w:id="631" w:name="_Toc5799280"/>
      <w:bookmarkStart w:id="632" w:name="_Toc30555"/>
      <w:r>
        <w:rPr>
          <w:rStyle w:val="14"/>
          <w:rFonts w:hint="eastAsia" w:ascii="宋体" w:hAnsi="宋体" w:cs="宋体"/>
          <w:color w:val="000000"/>
          <w:sz w:val="24"/>
          <w:szCs w:val="24"/>
        </w:rPr>
        <w:t>五、保修费用</w:t>
      </w:r>
      <w:bookmarkEnd w:id="629"/>
      <w:bookmarkEnd w:id="630"/>
      <w:bookmarkEnd w:id="631"/>
      <w:bookmarkEnd w:id="632"/>
    </w:p>
    <w:p>
      <w:pPr>
        <w:pStyle w:val="20"/>
        <w:bidi w:val="0"/>
        <w:spacing w:line="440" w:lineRule="exact"/>
        <w:rPr>
          <w:rStyle w:val="14"/>
          <w:rFonts w:ascii="宋体" w:hAnsi="宋体" w:cs="宋体"/>
          <w:color w:val="000000"/>
          <w:sz w:val="24"/>
          <w:szCs w:val="24"/>
        </w:rPr>
      </w:pPr>
      <w:r>
        <w:rPr>
          <w:rStyle w:val="14"/>
          <w:rFonts w:hint="eastAsia" w:ascii="宋体" w:hAnsi="宋体" w:cs="宋体"/>
          <w:color w:val="000000"/>
          <w:sz w:val="24"/>
          <w:szCs w:val="24"/>
        </w:rPr>
        <w:t>　　保修费用由造成质量缺陷的责任方承担。</w:t>
      </w:r>
    </w:p>
    <w:p>
      <w:pPr>
        <w:pStyle w:val="20"/>
        <w:bidi w:val="0"/>
        <w:spacing w:line="440" w:lineRule="exact"/>
        <w:jc w:val="left"/>
        <w:rPr>
          <w:rStyle w:val="14"/>
          <w:rFonts w:ascii="宋体" w:hAnsi="宋体" w:cs="宋体"/>
          <w:color w:val="000000"/>
          <w:sz w:val="24"/>
          <w:szCs w:val="24"/>
        </w:rPr>
      </w:pPr>
      <w:bookmarkStart w:id="633" w:name="_Toc256000106"/>
      <w:r>
        <w:rPr>
          <w:rStyle w:val="14"/>
          <w:rFonts w:hint="eastAsia" w:ascii="宋体" w:hAnsi="宋体" w:cs="宋体"/>
          <w:color w:val="000000"/>
          <w:sz w:val="24"/>
          <w:szCs w:val="24"/>
        </w:rPr>
        <w:t>六、</w:t>
      </w:r>
      <w:bookmarkEnd w:id="633"/>
      <w:r>
        <w:rPr>
          <w:rStyle w:val="14"/>
          <w:rFonts w:hint="eastAsia" w:ascii="宋体" w:hAnsi="宋体" w:cs="宋体"/>
          <w:color w:val="000000"/>
          <w:sz w:val="24"/>
          <w:szCs w:val="24"/>
        </w:rPr>
        <w:t>双方约定的其他工程质量保修事项：</w:t>
      </w:r>
      <w:r>
        <w:rPr>
          <w:rStyle w:val="14"/>
          <w:rFonts w:hint="eastAsia" w:ascii="宋体" w:hAnsi="宋体" w:cs="宋体"/>
          <w:color w:val="000000"/>
          <w:sz w:val="24"/>
          <w:szCs w:val="24"/>
          <w:u w:val="single"/>
        </w:rPr>
        <w:t xml:space="preserve">   /   </w:t>
      </w:r>
      <w:r>
        <w:rPr>
          <w:rStyle w:val="14"/>
          <w:rFonts w:hint="eastAsia" w:ascii="宋体" w:hAnsi="宋体" w:cs="宋体"/>
          <w:color w:val="000000"/>
          <w:sz w:val="24"/>
          <w:szCs w:val="24"/>
        </w:rPr>
        <w:t>。</w:t>
      </w:r>
    </w:p>
    <w:p>
      <w:pPr>
        <w:pStyle w:val="20"/>
        <w:bidi w:val="0"/>
        <w:spacing w:line="440" w:lineRule="exact"/>
        <w:ind w:firstLine="456" w:firstLineChars="190"/>
        <w:rPr>
          <w:rStyle w:val="14"/>
          <w:rFonts w:ascii="宋体" w:hAnsi="宋体" w:cs="宋体"/>
          <w:color w:val="000000"/>
          <w:sz w:val="24"/>
          <w:szCs w:val="24"/>
        </w:rPr>
      </w:pPr>
      <w:r>
        <w:rPr>
          <w:rStyle w:val="14"/>
          <w:rFonts w:hint="eastAsia" w:ascii="宋体" w:hAnsi="宋体" w:cs="宋体"/>
          <w:color w:val="000000"/>
          <w:sz w:val="24"/>
          <w:szCs w:val="24"/>
        </w:rPr>
        <w:t>工程质量保修书由发包人、承包人在工程竣工验收前共同签署，作为施工合同附件，其有效期限至保修期满。</w:t>
      </w:r>
    </w:p>
    <w:p>
      <w:pPr>
        <w:pStyle w:val="20"/>
        <w:bidi w:val="0"/>
        <w:spacing w:line="440" w:lineRule="exact"/>
        <w:ind w:firstLine="420"/>
        <w:rPr>
          <w:rStyle w:val="14"/>
          <w:rFonts w:ascii="宋体" w:hAnsi="宋体" w:cs="宋体"/>
          <w:color w:val="000000"/>
          <w:sz w:val="24"/>
          <w:szCs w:val="24"/>
        </w:rPr>
      </w:pP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发包人：宿迁市第一人民医院        承包人：</w:t>
      </w: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 xml:space="preserve"> （盖章 ）                               （盖章）</w:t>
      </w: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法定代表人：                      法定（授权）代表人：</w:t>
      </w:r>
    </w:p>
    <w:p>
      <w:pPr>
        <w:pStyle w:val="21"/>
        <w:bidi w:val="0"/>
        <w:spacing w:line="440" w:lineRule="exact"/>
        <w:ind w:firstLine="360" w:firstLineChars="150"/>
        <w:rPr>
          <w:rStyle w:val="14"/>
          <w:rFonts w:ascii="宋体" w:hAnsi="宋体" w:cs="宋体"/>
          <w:b w:val="0"/>
          <w:bCs/>
          <w:kern w:val="0"/>
          <w:sz w:val="24"/>
          <w:szCs w:val="24"/>
        </w:rPr>
      </w:pP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信息处负责人：</w:t>
      </w:r>
    </w:p>
    <w:p>
      <w:pPr>
        <w:pStyle w:val="21"/>
        <w:bidi w:val="0"/>
        <w:spacing w:line="440" w:lineRule="exact"/>
        <w:ind w:firstLine="360" w:firstLineChars="150"/>
        <w:rPr>
          <w:rStyle w:val="14"/>
          <w:rFonts w:ascii="宋体" w:hAnsi="宋体" w:cs="宋体"/>
          <w:b w:val="0"/>
          <w:bCs/>
          <w:kern w:val="0"/>
          <w:sz w:val="24"/>
          <w:szCs w:val="24"/>
        </w:rPr>
      </w:pP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招标办负责人：                    联系人：</w:t>
      </w:r>
    </w:p>
    <w:p>
      <w:pPr>
        <w:pStyle w:val="21"/>
        <w:bidi w:val="0"/>
        <w:spacing w:line="440" w:lineRule="exact"/>
        <w:ind w:firstLine="360" w:firstLineChars="150"/>
        <w:rPr>
          <w:rStyle w:val="14"/>
          <w:rFonts w:hint="eastAsia" w:ascii="宋体" w:hAnsi="宋体" w:cs="宋体"/>
          <w:b w:val="0"/>
          <w:bCs/>
          <w:kern w:val="0"/>
          <w:sz w:val="24"/>
          <w:szCs w:val="24"/>
        </w:rPr>
      </w:pPr>
    </w:p>
    <w:p>
      <w:pPr>
        <w:pStyle w:val="21"/>
        <w:bidi w:val="0"/>
        <w:spacing w:line="440" w:lineRule="exact"/>
        <w:ind w:firstLine="360" w:firstLineChars="150"/>
        <w:rPr>
          <w:rStyle w:val="14"/>
          <w:rFonts w:ascii="宋体" w:hAnsi="宋体" w:cs="宋体"/>
          <w:b w:val="0"/>
          <w:bCs/>
          <w:kern w:val="0"/>
          <w:sz w:val="24"/>
          <w:szCs w:val="24"/>
        </w:rPr>
      </w:pPr>
      <w:r>
        <w:rPr>
          <w:rStyle w:val="14"/>
          <w:rFonts w:hint="eastAsia" w:ascii="宋体" w:hAnsi="宋体" w:cs="宋体"/>
          <w:b w:val="0"/>
          <w:bCs/>
          <w:kern w:val="0"/>
          <w:sz w:val="24"/>
          <w:szCs w:val="24"/>
        </w:rPr>
        <w:t>联系人：                          联系电话：</w:t>
      </w:r>
    </w:p>
    <w:p>
      <w:pPr>
        <w:pStyle w:val="30"/>
        <w:bidi w:val="0"/>
        <w:ind w:firstLine="240" w:firstLineChars="100"/>
        <w:rPr>
          <w:rStyle w:val="14"/>
          <w:rFonts w:hint="eastAsia" w:ascii="宋体" w:hAnsi="宋体" w:cs="宋体"/>
          <w:b w:val="0"/>
          <w:bCs/>
          <w:kern w:val="0"/>
          <w:sz w:val="24"/>
          <w:szCs w:val="24"/>
        </w:rPr>
      </w:pPr>
    </w:p>
    <w:p>
      <w:pPr>
        <w:pStyle w:val="21"/>
        <w:bidi w:val="0"/>
        <w:ind w:firstLine="240" w:firstLineChars="100"/>
        <w:rPr>
          <w:rStyle w:val="14"/>
          <w:b w:val="0"/>
          <w:bCs/>
        </w:rPr>
      </w:pPr>
      <w:r>
        <w:rPr>
          <w:rStyle w:val="14"/>
          <w:rFonts w:hint="eastAsia" w:ascii="宋体" w:hAnsi="宋体" w:cs="宋体"/>
          <w:b w:val="0"/>
          <w:bCs/>
          <w:kern w:val="0"/>
          <w:sz w:val="24"/>
          <w:szCs w:val="24"/>
        </w:rPr>
        <w:t>202</w:t>
      </w:r>
      <w:r>
        <w:rPr>
          <w:rStyle w:val="14"/>
          <w:rFonts w:hint="eastAsia" w:ascii="宋体" w:hAnsi="宋体" w:cs="宋体"/>
          <w:b w:val="0"/>
          <w:bCs/>
          <w:kern w:val="0"/>
          <w:sz w:val="24"/>
          <w:szCs w:val="24"/>
          <w:lang w:val="en-US" w:eastAsia="zh-CN"/>
        </w:rPr>
        <w:t>4</w:t>
      </w:r>
      <w:r>
        <w:rPr>
          <w:rStyle w:val="14"/>
          <w:rFonts w:hint="eastAsia" w:ascii="宋体" w:hAnsi="宋体" w:cs="宋体"/>
          <w:b w:val="0"/>
          <w:bCs/>
          <w:kern w:val="0"/>
          <w:sz w:val="24"/>
          <w:szCs w:val="24"/>
        </w:rPr>
        <w:t>年   月    日                 202</w:t>
      </w:r>
      <w:r>
        <w:rPr>
          <w:rStyle w:val="14"/>
          <w:rFonts w:hint="eastAsia" w:ascii="宋体" w:hAnsi="宋体" w:cs="宋体"/>
          <w:b w:val="0"/>
          <w:bCs/>
          <w:kern w:val="0"/>
          <w:sz w:val="24"/>
          <w:szCs w:val="24"/>
          <w:lang w:val="en-US" w:eastAsia="zh-CN"/>
        </w:rPr>
        <w:t>4</w:t>
      </w:r>
      <w:r>
        <w:rPr>
          <w:rStyle w:val="14"/>
          <w:rFonts w:hint="eastAsia" w:ascii="宋体" w:hAnsi="宋体" w:cs="宋体"/>
          <w:b w:val="0"/>
          <w:bCs/>
          <w:kern w:val="0"/>
          <w:sz w:val="24"/>
          <w:szCs w:val="24"/>
        </w:rPr>
        <w:t>年   月    日</w:t>
      </w:r>
    </w:p>
    <w:p>
      <w:pPr>
        <w:pStyle w:val="31"/>
        <w:bidi w:val="0"/>
        <w:spacing w:after="200" w:line="360" w:lineRule="exact"/>
        <w:ind w:firstLine="210" w:firstLineChars="100"/>
        <w:rPr>
          <w:rStyle w:val="14"/>
        </w:rPr>
      </w:pPr>
    </w:p>
    <w:p>
      <w:pPr>
        <w:bidi w:val="0"/>
        <w:rPr>
          <w:rFonts w:hint="eastAsia"/>
          <w:color w:val="000080"/>
          <w:sz w:val="20"/>
          <w:highlight w:val="white"/>
        </w:rPr>
      </w:pPr>
      <w:r>
        <w:rPr>
          <w:rFonts w:hint="eastAsia"/>
          <w:color w:val="000080"/>
          <w:sz w:val="20"/>
          <w:highlight w:val="white"/>
        </w:rPr>
        <w:t xml:space="preserve"> </w:t>
      </w:r>
    </w:p>
    <w:p>
      <w:pPr>
        <w:pStyle w:val="32"/>
        <w:bidi w:val="0"/>
        <w:adjustRightInd w:val="0"/>
        <w:snapToGrid w:val="0"/>
        <w:spacing w:line="360" w:lineRule="auto"/>
        <w:ind w:firstLine="210" w:firstLineChars="100"/>
        <w:rPr>
          <w:rFonts w:hint="eastAsia" w:ascii="宋体" w:hAnsi="宋体"/>
          <w:szCs w:val="21"/>
        </w:rPr>
      </w:pPr>
    </w:p>
    <w:p>
      <w:pPr>
        <w:pStyle w:val="2"/>
        <w:wordWrap w:val="0"/>
        <w:bidi w:val="0"/>
        <w:sectPr>
          <w:pgSz w:w="11907" w:h="16840"/>
          <w:pgMar w:top="1440" w:right="1559" w:bottom="1440" w:left="1560" w:header="851" w:footer="851" w:gutter="0"/>
          <w:cols w:space="720" w:num="1"/>
          <w:docGrid w:linePitch="312" w:charSpace="0"/>
        </w:sectPr>
      </w:pPr>
    </w:p>
    <w:p>
      <w:pPr>
        <w:wordWrap w:val="0"/>
        <w:bidi w:val="0"/>
        <w:spacing w:line="360" w:lineRule="auto"/>
        <w:rPr>
          <w:szCs w:val="21"/>
        </w:rPr>
      </w:pPr>
    </w:p>
    <w:p>
      <w:pPr>
        <w:pStyle w:val="2"/>
        <w:wordWrap w:val="0"/>
        <w:bidi w:val="0"/>
      </w:pPr>
      <w:bookmarkStart w:id="634" w:name="_Toc15723"/>
      <w:r>
        <w:rPr>
          <w:highlight w:val="white"/>
        </w:rPr>
        <w:t>第五章 工程量清单</w:t>
      </w:r>
      <w:bookmarkEnd w:id="634"/>
    </w:p>
    <w:p>
      <w:pPr>
        <w:wordWrap w:val="0"/>
        <w:bidi w:val="0"/>
        <w:spacing w:line="360" w:lineRule="auto"/>
        <w:jc w:val="center"/>
        <w:rPr>
          <w:b/>
          <w:bCs/>
          <w:kern w:val="44"/>
          <w:sz w:val="32"/>
          <w:szCs w:val="32"/>
        </w:rPr>
      </w:pPr>
    </w:p>
    <w:p>
      <w:pPr>
        <w:pStyle w:val="4"/>
        <w:wordWrap w:val="0"/>
        <w:bidi w:val="0"/>
        <w:rPr>
          <w:kern w:val="0"/>
        </w:rPr>
      </w:pPr>
      <w:bookmarkStart w:id="635" w:name="_Toc19108"/>
      <w:r>
        <w:rPr>
          <w:kern w:val="0"/>
          <w:highlight w:val="white"/>
        </w:rPr>
        <w:t>1．工程量清单编制说明</w:t>
      </w:r>
      <w:bookmarkEnd w:id="635"/>
    </w:p>
    <w:p>
      <w:pPr>
        <w:wordWrap w:val="0"/>
        <w:bidi w:val="0"/>
        <w:spacing w:line="360" w:lineRule="auto"/>
        <w:ind w:left="-4" w:leftChars="-2" w:firstLine="359" w:firstLineChars="171"/>
      </w:pPr>
      <w:r>
        <w:rPr>
          <w:highlight w:val="white"/>
        </w:rPr>
        <w:t>1.1本工程量清单是依据现行国家标准《建设工程工程量清单计价规范》(GB50500-2013)及其9本计算规范(以下简称“计价规范”)、地方规定以及招标文件中包括的图纸等编制。</w:t>
      </w:r>
    </w:p>
    <w:p>
      <w:pPr>
        <w:wordWrap w:val="0"/>
        <w:bidi w:val="0"/>
        <w:spacing w:line="360" w:lineRule="auto"/>
        <w:ind w:left="-4" w:leftChars="-2" w:firstLine="359" w:firstLineChars="171"/>
      </w:pPr>
      <w:r>
        <w:rPr>
          <w:highlight w:val="white"/>
        </w:rPr>
        <w:t>1.2本工程量清单应与招标文件中的投标人须知、通用合同条款、专用合同条款、技术标准和要求及图纸等章节内容一起阅读和理解。</w:t>
      </w:r>
    </w:p>
    <w:p>
      <w:pPr>
        <w:wordWrap w:val="0"/>
        <w:bidi w:val="0"/>
        <w:spacing w:line="360" w:lineRule="auto"/>
        <w:ind w:left="-4" w:leftChars="-2" w:firstLine="359" w:firstLineChars="171"/>
      </w:pPr>
      <w:r>
        <w:rPr>
          <w:highlight w:val="white"/>
        </w:rPr>
        <w:t>1.3本工程量清单仅是投标报价的共同基础，竣工结算的工程量按合同约定确定。合同价格的确定以及价款支付应遵循合同条款(包括通用合同条款和专用合同条款)、技术标准和要求以及本章的有关约定。</w:t>
      </w:r>
    </w:p>
    <w:p>
      <w:pPr>
        <w:wordWrap w:val="0"/>
        <w:bidi w:val="0"/>
        <w:spacing w:line="360" w:lineRule="auto"/>
        <w:ind w:left="-4" w:leftChars="-2" w:firstLine="359" w:firstLineChars="171"/>
      </w:pPr>
      <w:r>
        <w:rPr>
          <w:highlight w:val="white"/>
        </w:rPr>
        <w:t>1.4本条第1.1款中约定的计量和计价规则适用于合同履约过程中工程量计量与价款支付、工程变更、索赔和工程结算。</w:t>
      </w:r>
    </w:p>
    <w:p>
      <w:pPr>
        <w:wordWrap w:val="0"/>
        <w:bidi w:val="0"/>
        <w:spacing w:line="360" w:lineRule="auto"/>
        <w:ind w:left="-4" w:leftChars="-2" w:firstLine="359" w:firstLineChars="171"/>
        <w:rPr>
          <w:szCs w:val="21"/>
        </w:rPr>
      </w:pPr>
      <w:r>
        <w:rPr>
          <w:highlight w:val="white"/>
        </w:rPr>
        <w:t>1.5本条与本章第2条和第3条的说明内容是构成合同文件的已标价工程量清单的组成部分。</w:t>
      </w:r>
    </w:p>
    <w:p>
      <w:pPr>
        <w:pStyle w:val="4"/>
        <w:wordWrap w:val="0"/>
        <w:bidi w:val="0"/>
        <w:rPr>
          <w:kern w:val="0"/>
        </w:rPr>
      </w:pPr>
      <w:bookmarkStart w:id="636" w:name="_Toc17304"/>
      <w:r>
        <w:rPr>
          <w:kern w:val="0"/>
          <w:highlight w:val="white"/>
        </w:rPr>
        <w:t>2．投标报价编制要求</w:t>
      </w:r>
      <w:bookmarkEnd w:id="636"/>
    </w:p>
    <w:p>
      <w:pPr>
        <w:wordWrap w:val="0"/>
        <w:bidi w:val="0"/>
        <w:spacing w:line="360" w:lineRule="auto"/>
        <w:ind w:firstLine="359" w:firstLineChars="171"/>
      </w:pPr>
      <w:r>
        <w:rPr>
          <w:highlight w:val="white"/>
        </w:rPr>
        <w:t>2.1投标报价应根据招标文件中的有关计价要求，并按照下列依据自主报价，但不得低于成本。</w:t>
      </w:r>
    </w:p>
    <w:p>
      <w:pPr>
        <w:wordWrap w:val="0"/>
        <w:bidi w:val="0"/>
        <w:spacing w:line="360" w:lineRule="auto"/>
        <w:ind w:firstLine="359" w:firstLineChars="171"/>
      </w:pPr>
      <w:r>
        <w:rPr>
          <w:highlight w:val="white"/>
        </w:rPr>
        <w:t>(1)  本招标文件；</w:t>
      </w:r>
    </w:p>
    <w:p>
      <w:pPr>
        <w:wordWrap w:val="0"/>
        <w:bidi w:val="0"/>
        <w:spacing w:line="360" w:lineRule="auto"/>
        <w:ind w:firstLine="359" w:firstLineChars="171"/>
      </w:pPr>
      <w:r>
        <w:rPr>
          <w:highlight w:val="white"/>
        </w:rPr>
        <w:t>(2)  《建设工程工程量清单计价规范》 (GB50500-2013) 及其9本计算规范；</w:t>
      </w:r>
    </w:p>
    <w:p>
      <w:pPr>
        <w:wordWrap w:val="0"/>
        <w:bidi w:val="0"/>
        <w:spacing w:line="360" w:lineRule="auto"/>
        <w:ind w:firstLine="359" w:firstLineChars="171"/>
      </w:pPr>
      <w:r>
        <w:rPr>
          <w:highlight w:val="white"/>
        </w:rPr>
        <w:t>(3)  国家或省级、行业建设主管部门颁发的计价办法；</w:t>
      </w:r>
    </w:p>
    <w:p>
      <w:pPr>
        <w:wordWrap w:val="0"/>
        <w:bidi w:val="0"/>
        <w:spacing w:line="360" w:lineRule="auto"/>
        <w:ind w:firstLine="359" w:firstLineChars="171"/>
      </w:pPr>
      <w:r>
        <w:rPr>
          <w:highlight w:val="white"/>
        </w:rPr>
        <w:t>(4)  企业定额，国家或省级、行业建设主管部门颁发的计价定额；</w:t>
      </w:r>
    </w:p>
    <w:p>
      <w:pPr>
        <w:wordWrap w:val="0"/>
        <w:bidi w:val="0"/>
        <w:spacing w:line="360" w:lineRule="auto"/>
        <w:ind w:firstLine="359" w:firstLineChars="171"/>
      </w:pPr>
      <w:r>
        <w:rPr>
          <w:highlight w:val="white"/>
        </w:rPr>
        <w:t xml:space="preserve">(5)  </w:t>
      </w:r>
      <w:r>
        <w:rPr>
          <w:szCs w:val="28"/>
          <w:highlight w:val="white"/>
        </w:rPr>
        <w:t>招标文件、招标工程量清单及其补充通知、答疑纪要；</w:t>
      </w:r>
    </w:p>
    <w:p>
      <w:pPr>
        <w:wordWrap w:val="0"/>
        <w:bidi w:val="0"/>
        <w:spacing w:line="360" w:lineRule="auto"/>
        <w:ind w:firstLine="359" w:firstLineChars="171"/>
      </w:pPr>
      <w:r>
        <w:rPr>
          <w:highlight w:val="white"/>
        </w:rPr>
        <w:t>(6)  建设工程设计文件及相关资料；</w:t>
      </w:r>
    </w:p>
    <w:p>
      <w:pPr>
        <w:wordWrap w:val="0"/>
        <w:bidi w:val="0"/>
        <w:spacing w:line="360" w:lineRule="auto"/>
        <w:ind w:firstLine="359" w:firstLineChars="171"/>
      </w:pPr>
      <w:r>
        <w:rPr>
          <w:highlight w:val="white"/>
        </w:rPr>
        <w:t>(7)  施工现场情况、工程特点及拟定的投标施工组织设计或施工方案；</w:t>
      </w:r>
    </w:p>
    <w:p>
      <w:pPr>
        <w:wordWrap w:val="0"/>
        <w:bidi w:val="0"/>
        <w:spacing w:line="360" w:lineRule="auto"/>
        <w:ind w:firstLine="359" w:firstLineChars="171"/>
      </w:pPr>
      <w:r>
        <w:rPr>
          <w:highlight w:val="white"/>
        </w:rPr>
        <w:t>(8)  与建设项目相关的标准、规范等技术资料；</w:t>
      </w:r>
    </w:p>
    <w:p>
      <w:pPr>
        <w:wordWrap w:val="0"/>
        <w:bidi w:val="0"/>
        <w:spacing w:line="360" w:lineRule="auto"/>
        <w:ind w:firstLine="359" w:firstLineChars="171"/>
      </w:pPr>
      <w:r>
        <w:rPr>
          <w:highlight w:val="white"/>
        </w:rPr>
        <w:t>(9)  市场价格信息或工程造价管理机构发布的工程造价信息；</w:t>
      </w:r>
    </w:p>
    <w:p>
      <w:pPr>
        <w:wordWrap w:val="0"/>
        <w:bidi w:val="0"/>
        <w:spacing w:line="360" w:lineRule="auto"/>
        <w:ind w:firstLine="359" w:firstLineChars="171"/>
      </w:pPr>
      <w:r>
        <w:rPr>
          <w:highlight w:val="white"/>
        </w:rPr>
        <w:t>(10) 其他的相关资料。</w:t>
      </w:r>
    </w:p>
    <w:p>
      <w:pPr>
        <w:wordWrap w:val="0"/>
        <w:bidi w:val="0"/>
        <w:spacing w:line="360" w:lineRule="auto"/>
        <w:ind w:firstLine="359" w:firstLineChars="171"/>
      </w:pPr>
      <w:r>
        <w:rPr>
          <w:highlight w:val="white"/>
        </w:rPr>
        <w:t>2.2招标工程量清单与计价表中列明的所有需要填写单价和合价的项目，均应填写且只允许有一个报价。未填写单价和合价的项目，视为此项费用已包含在已标价工程量清单中其他项目的单价和合价之中。</w:t>
      </w:r>
    </w:p>
    <w:p>
      <w:pPr>
        <w:wordWrap w:val="0"/>
        <w:bidi w:val="0"/>
        <w:spacing w:line="360" w:lineRule="auto"/>
        <w:ind w:firstLine="359" w:firstLineChars="171"/>
      </w:pPr>
      <w:r>
        <w:rPr>
          <w:highlight w:val="white"/>
        </w:rPr>
        <w:t>2.3工程量清单中标价的单价或金额，应包括所需人工费、材料费、施工机具使用费、管理费和利润，以及一定范围内的风险费用。所谓“一定范围内的风险”是指合同约定的风险。</w:t>
      </w:r>
    </w:p>
    <w:p>
      <w:pPr>
        <w:wordWrap w:val="0"/>
        <w:bidi w:val="0"/>
        <w:spacing w:line="360" w:lineRule="auto"/>
        <w:ind w:firstLine="359" w:firstLineChars="171"/>
      </w:pPr>
      <w:r>
        <w:rPr>
          <w:highlight w:val="white"/>
        </w:rPr>
        <w:t>2.4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wordWrap w:val="0"/>
        <w:bidi w:val="0"/>
        <w:spacing w:line="360" w:lineRule="auto"/>
        <w:ind w:firstLine="359" w:firstLineChars="171"/>
      </w:pPr>
      <w:r>
        <w:rPr>
          <w:highlight w:val="white"/>
        </w:rPr>
        <w:t>2.5分部分项工程和措施项目中的单价项目按下列要求报价：</w:t>
      </w:r>
    </w:p>
    <w:p>
      <w:pPr>
        <w:wordWrap w:val="0"/>
        <w:bidi w:val="0"/>
        <w:spacing w:line="360" w:lineRule="auto"/>
        <w:ind w:firstLine="539" w:firstLineChars="257"/>
      </w:pPr>
      <w:r>
        <w:rPr>
          <w:highlight w:val="white"/>
        </w:rPr>
        <w:t>2.5.1分部分项工程和措施项目中的单价项目，应根据招标文件和招标工程量清单确定综合单价。</w:t>
      </w:r>
    </w:p>
    <w:p>
      <w:pPr>
        <w:wordWrap w:val="0"/>
        <w:bidi w:val="0"/>
        <w:spacing w:line="360" w:lineRule="auto"/>
        <w:ind w:firstLine="539" w:firstLineChars="257"/>
      </w:pPr>
      <w:r>
        <w:rPr>
          <w:highlight w:val="white"/>
        </w:rPr>
        <w:t>2.5.2如果分部分项工程量清单中涉及“材料（工程设备）暂估单价及调整表”中列出的材料和工程设备，将该类材料和工程设备的暂估单价计入对应的工程量清单综合单价。</w:t>
      </w:r>
    </w:p>
    <w:p>
      <w:pPr>
        <w:wordWrap w:val="0"/>
        <w:bidi w:val="0"/>
        <w:spacing w:line="360" w:lineRule="auto"/>
        <w:ind w:firstLine="539" w:firstLineChars="257"/>
      </w:pPr>
      <w:r>
        <w:rPr>
          <w:highlight w:val="white"/>
        </w:rPr>
        <w:t>2.5.3如果分部分项工程量清单中涉及“发包人供应材料和工程设备一览表”中列出的材料和工程设备，则该类材料和工程设备供应至现场指定位置的采购供应价（含材料保管费）应计入对应的工程量清单综合单价。</w:t>
      </w:r>
    </w:p>
    <w:p>
      <w:pPr>
        <w:wordWrap w:val="0"/>
        <w:bidi w:val="0"/>
        <w:spacing w:line="360" w:lineRule="auto"/>
        <w:ind w:firstLine="539" w:firstLineChars="257"/>
      </w:pPr>
      <w:r>
        <w:rPr>
          <w:highlight w:val="white"/>
        </w:rPr>
        <w:t>2.5.4 “分部分项工程和单价措施项目清单与计价表”所列各项目的综合单价组成中，各项目的人工、材料和机械台班消耗量、管理费费率、利润费率由投标人按照其自身情况做充分的、竞争性考虑。</w:t>
      </w:r>
    </w:p>
    <w:p>
      <w:pPr>
        <w:wordWrap w:val="0"/>
        <w:bidi w:val="0"/>
        <w:spacing w:line="360" w:lineRule="auto"/>
        <w:ind w:firstLine="539" w:firstLineChars="257"/>
      </w:pPr>
      <w:r>
        <w:rPr>
          <w:highlight w:val="white"/>
        </w:rPr>
        <w:t>2.5.5投标人在投标文件中提交并构成合同文件的“承包人供应主要材料和工程设备一览表”中所列的材料和工程设备的价格是指此类材料和工程设备到达施工现场指定堆放地点的落地价格，即包括采购、包装、运输、装卸、堆放、现场保管等全部费用。“承包人供应主要材料和工程设备一览表”中所列材料和工程设备的价格应与构成综合单价相应材料或工程设备的价格一致。投标文件中的“发包人供应材料和工程设备一览表”中的甲供材料的名称、规格、单价、交货方式、交货地点等必须与招标工程量清单一致。</w:t>
      </w:r>
    </w:p>
    <w:p>
      <w:pPr>
        <w:wordWrap w:val="0"/>
        <w:bidi w:val="0"/>
        <w:spacing w:line="360" w:lineRule="auto"/>
        <w:ind w:firstLine="359" w:firstLineChars="171"/>
      </w:pPr>
      <w:r>
        <w:rPr>
          <w:highlight w:val="white"/>
        </w:rPr>
        <w:t>2.6措施项目中的总价项目按下列要求报价：</w:t>
      </w:r>
    </w:p>
    <w:p>
      <w:pPr>
        <w:wordWrap w:val="0"/>
        <w:bidi w:val="0"/>
        <w:spacing w:line="360" w:lineRule="auto"/>
        <w:ind w:firstLine="539" w:firstLineChars="257"/>
      </w:pPr>
      <w:r>
        <w:rPr>
          <w:highlight w:val="white"/>
        </w:rPr>
        <w:t>2.6.1  总价措施项目中，以费率计算的，投标单位在投标报价时自主报价；其他总价措施项目，按项计取，综合单价按实际或可能发生的费用进行计算。</w:t>
      </w:r>
    </w:p>
    <w:p>
      <w:pPr>
        <w:wordWrap w:val="0"/>
        <w:bidi w:val="0"/>
        <w:spacing w:line="360" w:lineRule="auto"/>
        <w:ind w:firstLine="539" w:firstLineChars="257"/>
      </w:pPr>
      <w:r>
        <w:rPr>
          <w:highlight w:val="white"/>
        </w:rPr>
        <w:t>2.6.2  措施项目清单中的安全文明施工费应按国家、省级或行业建设主管部门的规定计价，不得作为竞争性费用。</w:t>
      </w:r>
    </w:p>
    <w:p>
      <w:pPr>
        <w:wordWrap w:val="0"/>
        <w:bidi w:val="0"/>
        <w:spacing w:line="360" w:lineRule="auto"/>
        <w:ind w:left="13" w:leftChars="6" w:firstLine="539" w:firstLineChars="257"/>
      </w:pPr>
      <w:r>
        <w:rPr>
          <w:highlight w:val="white"/>
        </w:rPr>
        <w:t>2.6.3  招标人提供的措施项目清单，投标人在报价时应充分、全面地阅读和理解招标文件的相关内容和约定，包括第七章“技术标准和要求”的相关约定，详实了解工程场地及其周围环境，充分考虑招标工程特点及拟定的施工方案和施工组织设计，投标人可根据工程实际与施工组织设计增补总价措施项目，但不应更改招标人已列措施项目。</w:t>
      </w:r>
    </w:p>
    <w:p>
      <w:pPr>
        <w:wordWrap w:val="0"/>
        <w:bidi w:val="0"/>
        <w:spacing w:line="360" w:lineRule="auto"/>
        <w:ind w:firstLine="539" w:firstLineChars="257"/>
      </w:pPr>
      <w:r>
        <w:rPr>
          <w:highlight w:val="white"/>
        </w:rPr>
        <w:t>2.6.4  “总价措施项目清单与计价表”中所填写的报价金额，应全面涵盖招标文件约定的投标人中标后施工、竣工、交付本工程并维修其任何缺陷所需要履行的责任和义务的全部费用。</w:t>
      </w:r>
    </w:p>
    <w:p>
      <w:pPr>
        <w:wordWrap w:val="0"/>
        <w:bidi w:val="0"/>
        <w:spacing w:line="360" w:lineRule="auto"/>
        <w:ind w:firstLine="359" w:firstLineChars="171"/>
      </w:pPr>
      <w:r>
        <w:rPr>
          <w:highlight w:val="white"/>
        </w:rPr>
        <w:t>2.7其他项目清单费应按下列规定报价：</w:t>
      </w:r>
    </w:p>
    <w:p>
      <w:pPr>
        <w:wordWrap w:val="0"/>
        <w:bidi w:val="0"/>
        <w:spacing w:line="360" w:lineRule="auto"/>
        <w:ind w:left="2" w:leftChars="1" w:firstLine="537" w:firstLineChars="256"/>
      </w:pPr>
      <w:r>
        <w:rPr>
          <w:highlight w:val="white"/>
        </w:rPr>
        <w:t>2.7.1 暂列金额按“暂列金额明细表”中列出的金额报价，此处的暂列金额是招标人在招标文件中统一给定的，并不包括本章第2.8.3项的计日工金额。</w:t>
      </w:r>
    </w:p>
    <w:p>
      <w:pPr>
        <w:wordWrap w:val="0"/>
        <w:bidi w:val="0"/>
        <w:spacing w:line="360" w:lineRule="auto"/>
        <w:ind w:left="2" w:leftChars="1" w:firstLine="537" w:firstLineChars="256"/>
      </w:pPr>
      <w:r>
        <w:rPr>
          <w:highlight w:val="white"/>
        </w:rPr>
        <w:t>2.7.2 暂估价分为材料和工程设备暂估单价和专业工程暂估价两类。其中的材料和工程设备暂估单价按本节第2.5.2项的报价原则进入分部分项工程量清单之综合单价，不在其他项目清单中汇总；专业工程暂估价直接按“专业工程暂估价及结算价表”中列出的金额和本节第3.3.3项的报价原则计入其他项目清单报价。</w:t>
      </w:r>
    </w:p>
    <w:p>
      <w:pPr>
        <w:wordWrap w:val="0"/>
        <w:bidi w:val="0"/>
        <w:spacing w:line="360" w:lineRule="auto"/>
        <w:ind w:left="2" w:leftChars="1" w:firstLine="537" w:firstLineChars="256"/>
      </w:pPr>
      <w:r>
        <w:rPr>
          <w:highlight w:val="white"/>
        </w:rPr>
        <w:t>2.7.3 计日工按“计日工表”中列出的项目和估算数量，自主确定综合单价并计算计日工金额。。</w:t>
      </w:r>
    </w:p>
    <w:p>
      <w:pPr>
        <w:wordWrap w:val="0"/>
        <w:bidi w:val="0"/>
        <w:spacing w:line="360" w:lineRule="auto"/>
        <w:ind w:left="2" w:leftChars="1" w:firstLine="537" w:firstLineChars="256"/>
      </w:pPr>
      <w:r>
        <w:rPr>
          <w:highlight w:val="white"/>
        </w:rPr>
        <w:t>2.7.4 总承包服务费根据招标文件中列出的内容和要求，按“总承包服务费计价表”所列格式自主报价。</w:t>
      </w:r>
    </w:p>
    <w:p>
      <w:pPr>
        <w:wordWrap w:val="0"/>
        <w:bidi w:val="0"/>
        <w:spacing w:line="360" w:lineRule="auto"/>
        <w:ind w:left="4" w:leftChars="2" w:firstLine="359" w:firstLineChars="171"/>
      </w:pPr>
      <w:r>
        <w:rPr>
          <w:highlight w:val="white"/>
        </w:rPr>
        <w:t>2.8 规费和税金应按“规费、税金项目计价表”所列项目并根据国家、省级或行业建设主管部门的有关规定列项和计算，不得作为竞争性费用。</w:t>
      </w:r>
    </w:p>
    <w:p>
      <w:pPr>
        <w:wordWrap w:val="0"/>
        <w:bidi w:val="0"/>
        <w:spacing w:line="360" w:lineRule="auto"/>
        <w:ind w:left="4" w:leftChars="2" w:firstLine="359" w:firstLineChars="171"/>
      </w:pPr>
      <w:r>
        <w:rPr>
          <w:highlight w:val="white"/>
        </w:rPr>
        <w:t>2.9 除招标文件有强制性规定以及不可竞争部分以外，投标报价由投标人自主确定，但不得低于成本。</w:t>
      </w:r>
    </w:p>
    <w:p>
      <w:pPr>
        <w:wordWrap w:val="0"/>
        <w:bidi w:val="0"/>
        <w:spacing w:line="360" w:lineRule="auto"/>
        <w:ind w:left="2" w:leftChars="1" w:firstLine="359" w:firstLineChars="171"/>
      </w:pPr>
      <w:r>
        <w:rPr>
          <w:highlight w:val="white"/>
        </w:rPr>
        <w:t>2.10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wordWrap w:val="0"/>
        <w:bidi w:val="0"/>
        <w:spacing w:line="360" w:lineRule="auto"/>
        <w:ind w:left="4" w:leftChars="2" w:firstLine="359" w:firstLineChars="171"/>
      </w:pPr>
      <w:r>
        <w:rPr>
          <w:highlight w:val="white"/>
        </w:rPr>
        <w:t>2.11 管理费应由投标人在保证不低于其成本的基础上做竞争性考虑；利润由投标人根据自身情况和综合实力做竞争性考虑。</w:t>
      </w:r>
    </w:p>
    <w:p>
      <w:pPr>
        <w:wordWrap w:val="0"/>
        <w:bidi w:val="0"/>
        <w:spacing w:line="360" w:lineRule="auto"/>
        <w:ind w:firstLine="359" w:firstLineChars="171"/>
      </w:pPr>
      <w:r>
        <w:rPr>
          <w:highlight w:val="white"/>
        </w:rPr>
        <w:t>2.12 投标报价中应考虑招标文件中要求投标人承担的风险范围以及相关的费用。</w:t>
      </w:r>
    </w:p>
    <w:p>
      <w:pPr>
        <w:wordWrap w:val="0"/>
        <w:bidi w:val="0"/>
        <w:spacing w:line="360" w:lineRule="auto"/>
        <w:ind w:left="4" w:leftChars="2" w:firstLine="359" w:firstLineChars="171"/>
      </w:pPr>
      <w:r>
        <w:rPr>
          <w:highlight w:val="white"/>
        </w:rPr>
        <w:t>2.13 投标总价为投标人在投标文件中提出的各项支付金额的总和，为实施、完成招标工程并修补缺陷以及履行招标文件中约定的风险范围内的所有责任和义务所发生的全部费用。</w:t>
      </w:r>
    </w:p>
    <w:p>
      <w:pPr>
        <w:wordWrap w:val="0"/>
        <w:bidi w:val="0"/>
        <w:spacing w:line="360" w:lineRule="auto"/>
        <w:ind w:firstLine="359" w:firstLineChars="171"/>
      </w:pPr>
      <w:r>
        <w:rPr>
          <w:highlight w:val="white"/>
        </w:rPr>
        <w:t>2.14 有关投标报价的其他要求：</w:t>
      </w:r>
    </w:p>
    <w:p>
      <w:pPr>
        <w:wordWrap w:val="0"/>
        <w:bidi w:val="0"/>
        <w:adjustRightInd w:val="0"/>
        <w:spacing w:line="360" w:lineRule="auto"/>
        <w:ind w:firstLine="359" w:firstLineChars="171"/>
      </w:pPr>
      <w:r>
        <w:rPr>
          <w:highlight w:val="white"/>
          <w:u w:val="single"/>
        </w:rPr>
        <w:t xml:space="preserve">                                                                           </w:t>
      </w:r>
      <w:r>
        <w:rPr>
          <w:highlight w:val="white"/>
        </w:rPr>
        <w:t>。</w:t>
      </w:r>
    </w:p>
    <w:p>
      <w:pPr>
        <w:pStyle w:val="4"/>
        <w:wordWrap w:val="0"/>
        <w:bidi w:val="0"/>
        <w:rPr>
          <w:kern w:val="0"/>
        </w:rPr>
      </w:pPr>
      <w:bookmarkStart w:id="637" w:name="_Toc27729"/>
      <w:r>
        <w:rPr>
          <w:kern w:val="0"/>
          <w:highlight w:val="white"/>
        </w:rPr>
        <w:t>3．其他说明</w:t>
      </w:r>
      <w:bookmarkEnd w:id="637"/>
    </w:p>
    <w:p>
      <w:pPr>
        <w:wordWrap w:val="0"/>
        <w:bidi w:val="0"/>
        <w:spacing w:line="360" w:lineRule="auto"/>
        <w:ind w:firstLine="525" w:firstLineChars="250"/>
      </w:pPr>
      <w:r>
        <w:rPr>
          <w:highlight w:val="white"/>
        </w:rPr>
        <w:t>3.1词语和定义</w:t>
      </w:r>
    </w:p>
    <w:p>
      <w:pPr>
        <w:wordWrap w:val="0"/>
        <w:bidi w:val="0"/>
        <w:spacing w:line="360" w:lineRule="auto"/>
        <w:ind w:left="4" w:leftChars="2" w:firstLine="535" w:firstLineChars="255"/>
      </w:pPr>
      <w:r>
        <w:rPr>
          <w:highlight w:val="white"/>
        </w:rPr>
        <w:t>3.1.1 同义词语</w:t>
      </w:r>
    </w:p>
    <w:p>
      <w:pPr>
        <w:wordWrap w:val="0"/>
        <w:bidi w:val="0"/>
        <w:spacing w:line="360" w:lineRule="auto"/>
        <w:ind w:left="4" w:leftChars="2" w:firstLine="535" w:firstLineChars="255"/>
      </w:pPr>
      <w:r>
        <w:rPr>
          <w:highlight w:val="white"/>
        </w:rPr>
        <w:t>本章中使用的词语“招标人”和“投标人”分别与合同条款中定义的“发包人”和“承包人”同义。</w:t>
      </w:r>
    </w:p>
    <w:p>
      <w:pPr>
        <w:wordWrap w:val="0"/>
        <w:bidi w:val="0"/>
        <w:spacing w:line="360" w:lineRule="auto"/>
        <w:ind w:firstLine="525" w:firstLineChars="250"/>
        <w:outlineLvl w:val="0"/>
      </w:pPr>
      <w:bookmarkStart w:id="638" w:name="_Toc5913"/>
      <w:r>
        <w:rPr>
          <w:highlight w:val="white"/>
        </w:rPr>
        <w:t>3.2工程量差异调整</w:t>
      </w:r>
      <w:bookmarkEnd w:id="638"/>
    </w:p>
    <w:p>
      <w:pPr>
        <w:wordWrap w:val="0"/>
        <w:bidi w:val="0"/>
        <w:spacing w:line="360" w:lineRule="auto"/>
        <w:ind w:left="4" w:leftChars="2" w:firstLine="535" w:firstLineChars="255"/>
      </w:pPr>
      <w:r>
        <w:rPr>
          <w:highlight w:val="white"/>
        </w:rPr>
        <w:t>3.2.1 工程量清单中的项目列项、特征描述、工作内容以及“分部分项工程和单价措施项目清单与计价表”中附带的工程量都不应理解为是对承包(招标)范围以及合同工作内容的唯一的、最终的或全部的定义。</w:t>
      </w:r>
    </w:p>
    <w:p>
      <w:pPr>
        <w:wordWrap w:val="0"/>
        <w:bidi w:val="0"/>
        <w:spacing w:line="360" w:lineRule="auto"/>
        <w:ind w:left="4" w:leftChars="2" w:firstLine="535" w:firstLineChars="255"/>
      </w:pPr>
      <w:r>
        <w:rPr>
          <w:highlight w:val="white"/>
        </w:rPr>
        <w:t>3.2.2 投标人可对招标人提供的工程量清单进行复核。这种复核包括对招标人提供的工程量清单中的项目编码、项目名称、项目特征描述、计量单位、工程量的准确性以及可能存在的任何书写、打印错误进行检查和复核，也包括对“分部分项工程和单价措施项目清单与计价表”中每个工作项目的工程量进行重新计算和校核。如果投标人经过检查和复核以后认为招标人提供的工程量清单存在差异，则投标人按第二章2.4款规定的程序向招标人提出异议。</w:t>
      </w:r>
    </w:p>
    <w:p>
      <w:pPr>
        <w:wordWrap w:val="0"/>
        <w:bidi w:val="0"/>
        <w:spacing w:line="360" w:lineRule="auto"/>
        <w:ind w:left="4" w:leftChars="2" w:firstLine="535" w:firstLineChars="255"/>
      </w:pPr>
      <w:r>
        <w:rPr>
          <w:highlight w:val="white"/>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项目增补外，不得改变(包括对工程量清单项目的项目名称、项目特征描述、计量单位以及工程量的任何修改、增加或减少)招标人提供的分部分项工程量清单和其他项目清单。即使按照图纸和招标范围的约定并不存在的项目，只要在招标人提供的分部分项工程量清单中已经列明，投标人都需要对其报价，并纳入投标总价的计算。</w:t>
      </w:r>
    </w:p>
    <w:p>
      <w:pPr>
        <w:wordWrap w:val="0"/>
        <w:bidi w:val="0"/>
        <w:spacing w:line="360" w:lineRule="auto"/>
        <w:ind w:left="4" w:leftChars="2" w:firstLine="359" w:firstLineChars="171"/>
      </w:pPr>
      <w:r>
        <w:rPr>
          <w:highlight w:val="white"/>
        </w:rPr>
        <w:t>3.3暂列金额和暂估价</w:t>
      </w:r>
    </w:p>
    <w:p>
      <w:pPr>
        <w:wordWrap w:val="0"/>
        <w:bidi w:val="0"/>
        <w:spacing w:line="360" w:lineRule="auto"/>
        <w:ind w:left="4" w:leftChars="2" w:firstLine="535" w:firstLineChars="255"/>
      </w:pPr>
      <w:r>
        <w:rPr>
          <w:highlight w:val="white"/>
        </w:rPr>
        <w:t>3.3.1 “暂列金额明细表”中所列暂列金额(不包括计日工金额)中已经包含与其对应的管理费、利润。投标人应按本招标文件规定将此类暂列金额直接纳入其他项目清单的投标价格中。</w:t>
      </w:r>
    </w:p>
    <w:p>
      <w:pPr>
        <w:wordWrap w:val="0"/>
        <w:bidi w:val="0"/>
        <w:spacing w:line="360" w:lineRule="auto"/>
        <w:ind w:left="4" w:leftChars="2" w:firstLine="535" w:firstLineChars="255"/>
      </w:pPr>
      <w:r>
        <w:rPr>
          <w:highlight w:val="white"/>
        </w:rPr>
        <w:t>3.3.3 专业工程暂估价及结算价表中所列的专业工程暂估价已经包含与其对应的管理费、利润，但不含规费和税金。投标人应按本招标文件规定将此类暂估价直接纳入其他项目清单的投标价格中。</w:t>
      </w:r>
    </w:p>
    <w:p>
      <w:pPr>
        <w:wordWrap w:val="0"/>
        <w:bidi w:val="0"/>
        <w:spacing w:line="360" w:lineRule="auto"/>
        <w:ind w:left="4" w:leftChars="2" w:firstLine="535" w:firstLineChars="255"/>
        <w:rPr>
          <w:u w:val="single"/>
        </w:rPr>
      </w:pPr>
      <w:r>
        <w:rPr>
          <w:highlight w:val="white"/>
        </w:rPr>
        <w:t>3.4其他补充说明</w:t>
      </w:r>
    </w:p>
    <w:p>
      <w:pPr>
        <w:wordWrap w:val="0"/>
        <w:bidi w:val="0"/>
        <w:spacing w:line="360" w:lineRule="exact"/>
        <w:ind w:left="4" w:leftChars="2" w:firstLine="359" w:firstLineChars="171"/>
      </w:pPr>
      <w:r>
        <w:rPr>
          <w:highlight w:val="white"/>
          <w:u w:val="single"/>
        </w:rPr>
        <w:t xml:space="preserve">                                                                             </w:t>
      </w:r>
      <w:r>
        <w:rPr>
          <w:highlight w:val="white"/>
        </w:rPr>
        <w:t>。</w:t>
      </w:r>
    </w:p>
    <w:p>
      <w:pPr>
        <w:wordWrap w:val="0"/>
        <w:bidi w:val="0"/>
      </w:pPr>
      <w:r>
        <w:rPr>
          <w:highlight w:val="white"/>
          <w:u w:val="single"/>
        </w:rPr>
        <w:t xml:space="preserve">                                                                             </w:t>
      </w:r>
    </w:p>
    <w:p>
      <w:pPr>
        <w:wordWrap w:val="0"/>
        <w:bidi w:val="0"/>
      </w:pPr>
      <w:r>
        <w:rPr>
          <w:highlight w:val="white"/>
        </w:rPr>
        <w:br w:type="page"/>
      </w:r>
    </w:p>
    <w:p>
      <w:pPr>
        <w:wordWrap w:val="0"/>
        <w:bidi w:val="0"/>
      </w:pPr>
    </w:p>
    <w:p>
      <w:pPr>
        <w:pStyle w:val="2"/>
        <w:wordWrap w:val="0"/>
        <w:bidi w:val="0"/>
      </w:pPr>
      <w:bookmarkStart w:id="639" w:name="_Toc18648"/>
      <w:r>
        <w:rPr>
          <w:highlight w:val="white"/>
        </w:rPr>
        <w:t>第六章 图  纸</w:t>
      </w:r>
      <w:bookmarkEnd w:id="639"/>
    </w:p>
    <w:p>
      <w:pPr>
        <w:bidi w:val="0"/>
        <w:rPr>
          <w:highlight w:val="red"/>
        </w:rPr>
      </w:pPr>
    </w:p>
    <w:p>
      <w:pPr>
        <w:bidi w:val="0"/>
        <w:rPr>
          <w:color w:val="000080"/>
          <w:sz w:val="20"/>
          <w:highlight w:val="white"/>
        </w:rPr>
      </w:pPr>
      <w:r>
        <w:rPr>
          <w:color w:val="000080"/>
          <w:sz w:val="20"/>
          <w:highlight w:val="white"/>
        </w:rPr>
        <w:t xml:space="preserve"> </w:t>
      </w:r>
    </w:p>
    <w:p>
      <w:pPr>
        <w:bidi w:val="0"/>
        <w:rPr>
          <w:highlight w:val="red"/>
        </w:rPr>
      </w:pPr>
      <w:r>
        <w:rPr>
          <w:highlight w:val="white"/>
        </w:rPr>
        <w:br w:type="page"/>
      </w:r>
    </w:p>
    <w:p>
      <w:pPr>
        <w:pStyle w:val="33"/>
        <w:keepNext/>
        <w:keepLines/>
        <w:wordWrap w:val="0"/>
        <w:bidi w:val="0"/>
        <w:spacing w:line="360" w:lineRule="auto"/>
        <w:jc w:val="center"/>
        <w:outlineLvl w:val="0"/>
        <w:rPr>
          <w:rStyle w:val="14"/>
          <w:rFonts w:ascii="Times New Roman" w:hAnsi="Times New Roman" w:eastAsia="黑体" w:cs="Times New Roman"/>
          <w:b/>
          <w:bCs/>
          <w:kern w:val="44"/>
          <w:sz w:val="32"/>
          <w:szCs w:val="44"/>
        </w:rPr>
      </w:pPr>
      <w:bookmarkStart w:id="640" w:name="_Toc31370"/>
      <w:r>
        <w:rPr>
          <w:rStyle w:val="14"/>
          <w:rFonts w:ascii="Times New Roman" w:hAnsi="Times New Roman" w:eastAsia="黑体" w:cs="Times New Roman"/>
          <w:b/>
          <w:bCs/>
          <w:kern w:val="44"/>
          <w:sz w:val="32"/>
          <w:szCs w:val="44"/>
          <w:highlight w:val="white"/>
        </w:rPr>
        <w:t>第七章 技术标准和要求</w:t>
      </w:r>
      <w:bookmarkEnd w:id="640"/>
    </w:p>
    <w:p>
      <w:pPr>
        <w:pStyle w:val="33"/>
        <w:wordWrap w:val="0"/>
        <w:bidi w:val="0"/>
        <w:jc w:val="center"/>
        <w:rPr>
          <w:rStyle w:val="14"/>
          <w:rFonts w:ascii="Times New Roman" w:hAnsi="Times New Roman" w:eastAsia="宋体" w:cs="Times New Roman"/>
          <w:szCs w:val="21"/>
        </w:rPr>
      </w:pPr>
    </w:p>
    <w:p>
      <w:pPr>
        <w:pStyle w:val="33"/>
        <w:wordWrap w:val="0"/>
        <w:bidi w:val="0"/>
        <w:jc w:val="center"/>
        <w:rPr>
          <w:rStyle w:val="14"/>
          <w:rFonts w:ascii="Times New Roman" w:hAnsi="Times New Roman" w:eastAsia="宋体" w:cs="Times New Roman"/>
          <w:szCs w:val="21"/>
        </w:rPr>
      </w:pPr>
    </w:p>
    <w:p>
      <w:pPr>
        <w:keepNext w:val="0"/>
        <w:keepLines w:val="0"/>
        <w:pageBreakBefore w:val="0"/>
        <w:numPr>
          <w:ilvl w:val="0"/>
          <w:numId w:val="0"/>
        </w:numPr>
        <w:kinsoku/>
        <w:wordWrap/>
        <w:overflowPunct/>
        <w:topLinePunct w:val="0"/>
        <w:autoSpaceDE/>
        <w:bidi w:val="0"/>
        <w:adjustRightInd/>
        <w:snapToGrid w:val="0"/>
        <w:spacing w:line="440" w:lineRule="exact"/>
        <w:ind w:firstLine="480" w:firstLineChars="200"/>
        <w:jc w:val="left"/>
        <w:textAlignment w:val="auto"/>
        <w:rPr>
          <w:rStyle w:val="14"/>
          <w:rFonts w:hint="default"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一、综合楼大厅干挂瓷砖改造改造项目</w:t>
      </w:r>
    </w:p>
    <w:p>
      <w:pPr>
        <w:keepNext w:val="0"/>
        <w:keepLines w:val="0"/>
        <w:pageBreakBefore w:val="0"/>
        <w:numPr>
          <w:ilvl w:val="0"/>
          <w:numId w:val="0"/>
        </w:numPr>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1.本次招标内容涵盖发包人综合楼大厅墙面干挂瓷砖496.27平方米改造为干挂天然奥特曼大理石，窗户周边更换相同新人造大理石面积为102.61平方米，合计598.88平方米。同时因感染楼公共区域墙面干挂瓷砖有松动，须对该区域所有松动瓷砖进行全面打云石胶固定，公共区域干挂瓷砖墙面面积为340平方米。（除云石胶以外，不更换任何材料）</w:t>
      </w:r>
    </w:p>
    <w:p>
      <w:pPr>
        <w:pStyle w:val="34"/>
        <w:keepNext w:val="0"/>
        <w:keepLines w:val="0"/>
        <w:pageBreakBefore w:val="0"/>
        <w:kinsoku/>
        <w:wordWrap/>
        <w:overflowPunct/>
        <w:topLinePunct w:val="0"/>
        <w:autoSpaceDE/>
        <w:bidi w:val="0"/>
        <w:adjustRightInd/>
        <w:snapToGrid w:val="0"/>
        <w:spacing w:line="440" w:lineRule="exact"/>
        <w:ind w:firstLine="640"/>
        <w:jc w:val="left"/>
        <w:textAlignment w:val="auto"/>
        <w:rPr>
          <w:rStyle w:val="14"/>
          <w:rFonts w:hint="default"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2.综合楼大厅由中标单位重新出图，进行深化设计，提供详细施工方案（设计方案不得低于招标参数要求）。内容包括：脚手架、预埋件、膨胀螺栓、支撑钢架角钢、石材规格尺寸，墙体、框架承重，施工设备、工期进度、施工工艺流程，方案盖章后报发包人留存。如发包人对方案提出不足之处时，投标人需及时对方案进行提升优化。同时施工全程需留存影像资料，盖章报发包人留存。</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3.综合楼大厅需地面做好防护（木板或纤维水泥加压板等硬质材料），不得造成地面地砖损坏，如有刮痕、磨损，由中标单位进行修复。</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default"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4.综合楼大厅施工所需脚手架要求采用高密度满堂红脚手架进行搭建支撑，高度4.5米各设置一层防护网。</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default"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5.拆除综合楼大厅墙面干挂瓷砖、人造大理石、支撑钢架、膨胀螺栓，拆除的石材完好率要求不低于60%。墙面干挂瓷砖改为干挂天然奥特曼大理石（颜色要求须与大厅原有同类石材颜色一致），窗户周边更换新人造大理石。天然奥特曼大理石尺寸要求0.8m*0.8m，厚度不低于2cm（以游标卡尺计），阴角的定型接缝宽度不超过2mm。干</w:t>
      </w:r>
      <w:r>
        <w:rPr>
          <w:rStyle w:val="14"/>
          <w:rFonts w:hint="default" w:ascii="宋体" w:hAnsi="宋体" w:eastAsia="宋体" w:cs="宋体"/>
          <w:color w:val="000000"/>
          <w:kern w:val="2"/>
          <w:sz w:val="24"/>
          <w:szCs w:val="24"/>
          <w:lang w:val="en-US" w:eastAsia="zh-CN" w:bidi="ar-SA"/>
        </w:rPr>
        <w:t>挂窗套</w:t>
      </w:r>
      <w:r>
        <w:rPr>
          <w:rStyle w:val="14"/>
          <w:rFonts w:hint="eastAsia" w:ascii="宋体" w:hAnsi="宋体" w:eastAsia="宋体" w:cs="宋体"/>
          <w:color w:val="000000"/>
          <w:kern w:val="2"/>
          <w:sz w:val="24"/>
          <w:szCs w:val="24"/>
          <w:lang w:val="en-US" w:eastAsia="zh-CN" w:bidi="ar-SA"/>
        </w:rPr>
        <w:t>人造大理石采用2cm厚人造大理石定制，石材颜色需与原石材保持一致（白色）。拆除完整的瓷砖由中标单位负责运送至发包人指定的院内地下室位置，同时对施工现场进行清理。</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6.拆除综合楼大厅原有支撑钢架（钢架由中标单位负责运送至发包人指定的院内地下室位置），更换全新镀锌槽钢支架和镀锌角钢。所有型材规格须符合国家标准，钢架应采用热镀锌材质，焊接部分应满焊，并做好防锈处理，满焊镀锌槽钢竖向安装，满焊镀锌角钢横向龙骨，固定采用不锈钢干挂件。根据不锈钢挂件安装位置对大理石相应区域开槽安装，固定不锈钢干挂件。</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1）钢骨架要求：石材幕墙龙骨，横向龙骨为镀锌角钢L50*50*4,竖向龙骨为10#镀锌槽钢（槽钢间距不得大于1m），主次龙骨间采用焊接方式连接。主受力龙骨体系为一次混凝土结构梁，连接方式后置埋板安装（200*250*8厚热镀埋板M12*140机械胀栓固定，预埋件上下间距不得大于2.5m）,材质 Q235B,表面热镀锌处理。砌砖墙施工要求穿墙螺栓规格选择不低于Φ10，预埋镀锌钢板规格不低于250*200*8,上下间距不得大于2.5m。具体做法、连接方式及材质要求需在设计图纸及说明材料详细说明。</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2）石材干挂墙面要求：石材相应位置开槽安装干挂件，干挂胶填缝固定，V缝隙3*3，石材采用2cm厚奥特曼天然大理石,综合考虑石材强度背面增加玻璃纤维，表面六面防护倒角处理，结合整体效果，安装完成后整体结晶处理。石材挂接采用不锈钢挂件,局部位置采用不锈钢背栓挂件,综合考虑穿钢件位置周圈防水加强处理,综合考虑交接处收边收口,具体做法、连接方式及材质要求需在图纸及说明中详细说明。包含但不限于面板、防雷接地、连接件、连接螺栓、密封胶、与外墙饰面接口处理等为完成此工作全部所需工作内容,综合考虑幕墙造型,满足设计及建设单位要求。物理性能满足图纸设计及相关规范要求，材料设备满足设计说明等相关图纸要求，未尽事宜详见图纸、招标文件、满足施工及验收规范。</w:t>
      </w:r>
    </w:p>
    <w:p>
      <w:pPr>
        <w:keepNext w:val="0"/>
        <w:keepLines w:val="0"/>
        <w:pageBreakBefore w:val="0"/>
        <w:numPr>
          <w:ilvl w:val="0"/>
          <w:numId w:val="2"/>
        </w:numPr>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default" w:ascii="宋体" w:hAnsi="宋体" w:eastAsia="宋体" w:cs="宋体"/>
          <w:color w:val="000000"/>
          <w:kern w:val="2"/>
          <w:sz w:val="24"/>
          <w:szCs w:val="24"/>
          <w:lang w:val="en-US" w:eastAsia="zh-CN" w:bidi="ar-SA"/>
        </w:rPr>
        <w:t>人造大理石石材</w:t>
      </w:r>
      <w:r>
        <w:rPr>
          <w:rStyle w:val="14"/>
          <w:rFonts w:hint="eastAsia" w:ascii="宋体" w:hAnsi="宋体" w:eastAsia="宋体" w:cs="宋体"/>
          <w:color w:val="000000"/>
          <w:kern w:val="2"/>
          <w:sz w:val="24"/>
          <w:szCs w:val="24"/>
          <w:lang w:val="en-US" w:eastAsia="zh-CN" w:bidi="ar-SA"/>
        </w:rPr>
        <w:t>干</w:t>
      </w:r>
      <w:r>
        <w:rPr>
          <w:rStyle w:val="14"/>
          <w:rFonts w:hint="default" w:ascii="宋体" w:hAnsi="宋体" w:eastAsia="宋体" w:cs="宋体"/>
          <w:color w:val="000000"/>
          <w:kern w:val="2"/>
          <w:sz w:val="24"/>
          <w:szCs w:val="24"/>
          <w:lang w:val="en-US" w:eastAsia="zh-CN" w:bidi="ar-SA"/>
        </w:rPr>
        <w:t>挂窗套</w:t>
      </w:r>
      <w:r>
        <w:rPr>
          <w:rStyle w:val="14"/>
          <w:rFonts w:hint="eastAsia" w:ascii="宋体" w:hAnsi="宋体" w:eastAsia="宋体" w:cs="宋体"/>
          <w:color w:val="000000"/>
          <w:kern w:val="2"/>
          <w:sz w:val="24"/>
          <w:szCs w:val="24"/>
          <w:lang w:val="en-US" w:eastAsia="zh-CN" w:bidi="ar-SA"/>
        </w:rPr>
        <w:t xml:space="preserve">要求：连接采用不锈钢T型挂件，每块面板采用不少于4个挂件连接。确定大理石开槽位置，开槽位置安装干挂件缝隙涂抹固化剂固定。大理石作业找平，缝隙打胶，表面清理。窗台台面位置须有不低于18mm厚的阻燃木工板做大理石支撑。石材增强用玻璃纤维增强，石材面板做六面防护处理，综合效果整体结晶处理。该预埋板、主、次龙骨尺寸不得低于国家或行业最低施工标准。安装一切金属构件、固定件、密封胶填缝及所需配件处理等工作内容,综合考虑幕墙造型满足设计及建设单位要求。物理性能满足图纸设计及相关规范要求，材料设备满足设计说明等相关图纸要求，未尽事宜详见图纸、招标文件、满足施工及验收规范。                                                                                                             </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default"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（二）感染楼干挂瓷砖加固项目</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1.感染楼一、二、三层公共区域墙面有干挂辞砖松动须进行维修加固，如有损坏的瓷砖需进行更换（可使用综合楼拆除的瓷砖进行修补）。</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default"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2.感染楼区域：一楼发热门诊、感染楼门诊、收费处、留观区域、电梯厅等位置；二楼电梯厅；三楼电梯厅。</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3.松动的瓷砖须采用云石胶加AB胶进行固定。</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default"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（三）施工要求</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1.现场所有涉及施工的设施、设备均由投标单位自行提供，包括施工期间所需的警戒标识、围挡、标牌，施工期间不得影响医院正常办公。</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2.施工所产生的垃圾、损坏石材由中标单位自行送外处置，处置过程中所产生的所有费用由中标单位承担，发包单位不再另行支付费用，处置须符合国家规范，如被主管部门查处与发包人无关，中标人承担全部责任。</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3.所有施工流程阶段性工作完成后，须报发包人现场复核，符合要求后按计划施工。</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default"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4.施工过程中所使用的云石胶须为国内一线品牌，如不满足发包人要求，发包人有权要求中标单位停工，并对已完工部分进行返工。</w:t>
      </w:r>
    </w:p>
    <w:p>
      <w:pPr>
        <w:keepNext w:val="0"/>
        <w:keepLines w:val="0"/>
        <w:pageBreakBefore w:val="0"/>
        <w:numPr>
          <w:ilvl w:val="0"/>
          <w:numId w:val="0"/>
        </w:numPr>
        <w:kinsoku/>
        <w:wordWrap/>
        <w:overflowPunct/>
        <w:topLinePunct w:val="0"/>
        <w:autoSpaceDE/>
        <w:bidi w:val="0"/>
        <w:adjustRightInd/>
        <w:snapToGrid w:val="0"/>
        <w:spacing w:line="440" w:lineRule="exact"/>
        <w:ind w:left="420" w:leftChars="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二、项目组人员配备要求</w:t>
      </w:r>
    </w:p>
    <w:p>
      <w:pPr>
        <w:keepNext w:val="0"/>
        <w:keepLines w:val="0"/>
        <w:pageBreakBefore w:val="0"/>
        <w:numPr>
          <w:ilvl w:val="0"/>
          <w:numId w:val="3"/>
        </w:numPr>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中标单位所聘请的施工人员须经过应急管理部门培训并取得相关资质，项目施工人员需登高作业的须持有登高证，焊工作业的须持有焊工证。</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二）中标单位需聘用合格的有资质的人员为发包人从事约定的服务，中标单位所聘用人员与发包人没有劳动关系，由于中标单位在施工过程中意外发生安全事故，导致施工人员或游人意外伤害或死亡的，一切经济与法律责任由中标单位承担，与发包人无关。</w:t>
      </w:r>
    </w:p>
    <w:p>
      <w:pPr>
        <w:keepNext w:val="0"/>
        <w:keepLines w:val="0"/>
        <w:pageBreakBefore w:val="0"/>
        <w:numPr>
          <w:ilvl w:val="0"/>
          <w:numId w:val="0"/>
        </w:numPr>
        <w:kinsoku/>
        <w:wordWrap/>
        <w:overflowPunct/>
        <w:topLinePunct w:val="0"/>
        <w:autoSpaceDE/>
        <w:bidi w:val="0"/>
        <w:adjustRightInd/>
        <w:snapToGrid w:val="0"/>
        <w:spacing w:line="440" w:lineRule="exact"/>
        <w:ind w:left="420" w:leftChars="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三、其他要求</w:t>
      </w:r>
    </w:p>
    <w:p>
      <w:pPr>
        <w:pStyle w:val="35"/>
        <w:keepNext w:val="0"/>
        <w:keepLines w:val="0"/>
        <w:pageBreakBefore w:val="0"/>
        <w:widowControl/>
        <w:kinsoku/>
        <w:wordWrap/>
        <w:overflowPunct/>
        <w:topLinePunct w:val="0"/>
        <w:autoSpaceDE/>
        <w:autoSpaceDN w:val="0"/>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（一）工程质保期不少于3年，质量保修期自工程竣工验收合格之日起计算。</w:t>
      </w:r>
    </w:p>
    <w:p>
      <w:pPr>
        <w:pStyle w:val="35"/>
        <w:keepNext w:val="0"/>
        <w:keepLines w:val="0"/>
        <w:pageBreakBefore w:val="0"/>
        <w:widowControl/>
        <w:kinsoku/>
        <w:wordWrap/>
        <w:overflowPunct/>
        <w:topLinePunct w:val="0"/>
        <w:autoSpaceDE/>
        <w:autoSpaceDN w:val="0"/>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（二）属于保修范围和内容的项目，中标单位应在接到修理通知之日后 1 天内派人修理。中标单位不在约定期限内派人修理，发包人可委托其他人员修理，保修费用从质量保修金内扣除。</w:t>
      </w:r>
    </w:p>
    <w:p>
      <w:pPr>
        <w:pStyle w:val="35"/>
        <w:keepNext w:val="0"/>
        <w:keepLines w:val="0"/>
        <w:pageBreakBefore w:val="0"/>
        <w:widowControl/>
        <w:kinsoku/>
        <w:wordWrap/>
        <w:overflowPunct/>
        <w:topLinePunct w:val="0"/>
        <w:autoSpaceDE/>
        <w:autoSpaceDN w:val="0"/>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（三）发生须紧急抢修事故的，中标单位接到事故通知后，应立即到达事故现场抢修。</w:t>
      </w:r>
    </w:p>
    <w:p>
      <w:pPr>
        <w:pStyle w:val="35"/>
        <w:keepNext w:val="0"/>
        <w:keepLines w:val="0"/>
        <w:pageBreakBefore w:val="0"/>
        <w:widowControl/>
        <w:kinsoku/>
        <w:wordWrap/>
        <w:overflowPunct/>
        <w:topLinePunct w:val="0"/>
        <w:autoSpaceDE/>
        <w:autoSpaceDN w:val="0"/>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（四）在国家规定的工程合理使用期限内，中标单位确保本工程的质量。因中标单位原因致使工程在合理使用期限内造成人身和财产损害的，中标单位应承担损害赔偿责任。</w:t>
      </w:r>
    </w:p>
    <w:p>
      <w:pPr>
        <w:pStyle w:val="34"/>
        <w:keepNext w:val="0"/>
        <w:keepLines w:val="0"/>
        <w:pageBreakBefore w:val="0"/>
        <w:numPr>
          <w:ilvl w:val="0"/>
          <w:numId w:val="0"/>
        </w:numPr>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（五）中标单位所提供的产品需符合行业规范及国家标准。</w:t>
      </w:r>
    </w:p>
    <w:p>
      <w:pPr>
        <w:keepNext w:val="0"/>
        <w:keepLines w:val="0"/>
        <w:pageBreakBefore w:val="0"/>
        <w:numPr>
          <w:ilvl w:val="0"/>
          <w:numId w:val="0"/>
        </w:numPr>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（六）施工完成后，中标单位提交书面验收申请，发包人根据申请组织验收。</w:t>
      </w:r>
    </w:p>
    <w:p>
      <w:pPr>
        <w:keepNext w:val="0"/>
        <w:keepLines w:val="0"/>
        <w:pageBreakBefore w:val="0"/>
        <w:numPr>
          <w:ilvl w:val="0"/>
          <w:numId w:val="0"/>
        </w:numPr>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（七）验收内容包括货物、施工工艺、质量等是否符合招标要求。</w:t>
      </w:r>
    </w:p>
    <w:p>
      <w:pPr>
        <w:keepNext w:val="0"/>
        <w:keepLines w:val="0"/>
        <w:pageBreakBefore w:val="0"/>
        <w:kinsoku/>
        <w:wordWrap/>
        <w:overflowPunct/>
        <w:topLinePunct w:val="0"/>
        <w:autoSpaceDE/>
        <w:bidi w:val="0"/>
        <w:adjustRightInd/>
        <w:snapToGrid w:val="0"/>
        <w:spacing w:line="440" w:lineRule="exact"/>
        <w:ind w:firstLine="480" w:firstLineChars="200"/>
        <w:contextualSpacing/>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（八）验收过程中，发包人如发现有与相关约定内容不符的，向中标单位提出书面意见，不签发验收单。中标单位在接到书面意见后，应在3天内予以处理。</w:t>
      </w:r>
    </w:p>
    <w:p>
      <w:pPr>
        <w:pStyle w:val="32"/>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九）如果施工的质量、产品规格与合同规定不符，或在质量保质期内发现施工存在缺陷的（包括潜在缺陷或不符合要求的材料），发包人应报请法定检验机构进行检查，有权凭其出具的检验报告向中标单位提出索赔。</w:t>
      </w:r>
    </w:p>
    <w:p>
      <w:pPr>
        <w:keepNext w:val="0"/>
        <w:keepLines w:val="0"/>
        <w:pageBreakBefore w:val="0"/>
        <w:kinsoku/>
        <w:wordWrap/>
        <w:overflowPunct/>
        <w:topLinePunct w:val="0"/>
        <w:autoSpaceDE/>
        <w:bidi w:val="0"/>
        <w:adjustRightInd/>
        <w:snapToGrid w:val="0"/>
        <w:spacing w:line="440" w:lineRule="exact"/>
        <w:ind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（十）投标人需勘察现场，现场联系人朱老师，电话18605272363。</w:t>
      </w:r>
    </w:p>
    <w:p>
      <w:pPr>
        <w:pStyle w:val="12"/>
        <w:keepNext w:val="0"/>
        <w:keepLines w:val="0"/>
        <w:pageBreakBefore w:val="0"/>
        <w:kinsoku/>
        <w:wordWrap/>
        <w:overflowPunct/>
        <w:topLinePunct w:val="0"/>
        <w:autoSpaceDE/>
        <w:bidi w:val="0"/>
        <w:adjustRightInd/>
        <w:snapToGrid w:val="0"/>
        <w:spacing w:line="440" w:lineRule="exact"/>
        <w:ind w:left="0" w:leftChars="0"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（十一）投标人需提供产品品牌、规格型号、产品检验合格证明。</w:t>
      </w:r>
    </w:p>
    <w:p>
      <w:pPr>
        <w:pStyle w:val="12"/>
        <w:keepNext w:val="0"/>
        <w:keepLines w:val="0"/>
        <w:pageBreakBefore w:val="0"/>
        <w:kinsoku/>
        <w:wordWrap/>
        <w:overflowPunct/>
        <w:topLinePunct w:val="0"/>
        <w:autoSpaceDE/>
        <w:bidi w:val="0"/>
        <w:adjustRightInd/>
        <w:snapToGrid w:val="0"/>
        <w:spacing w:line="440" w:lineRule="exact"/>
        <w:ind w:left="0" w:leftChars="0"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（十二）因施工造成的楼栋外立面、院属其他设施损坏，均由中标单位进行修复。</w:t>
      </w:r>
    </w:p>
    <w:p>
      <w:pPr>
        <w:pStyle w:val="12"/>
        <w:keepNext w:val="0"/>
        <w:keepLines w:val="0"/>
        <w:pageBreakBefore w:val="0"/>
        <w:kinsoku/>
        <w:wordWrap/>
        <w:overflowPunct/>
        <w:topLinePunct w:val="0"/>
        <w:autoSpaceDE/>
        <w:bidi w:val="0"/>
        <w:adjustRightInd/>
        <w:snapToGrid w:val="0"/>
        <w:spacing w:line="440" w:lineRule="exact"/>
        <w:ind w:left="0" w:leftChars="0"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（十三）中标单位需为每位施工人员购买人身意外伤害保险，提供复印件交发包人留存。</w:t>
      </w:r>
    </w:p>
    <w:p>
      <w:pPr>
        <w:pStyle w:val="12"/>
        <w:keepNext w:val="0"/>
        <w:keepLines w:val="0"/>
        <w:pageBreakBefore w:val="0"/>
        <w:kinsoku/>
        <w:wordWrap/>
        <w:overflowPunct/>
        <w:topLinePunct w:val="0"/>
        <w:autoSpaceDE/>
        <w:bidi w:val="0"/>
        <w:adjustRightInd/>
        <w:snapToGrid w:val="0"/>
        <w:spacing w:line="440" w:lineRule="exact"/>
        <w:ind w:left="0" w:leftChars="0"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十四）履约期间中标单位应服从发包人统一管理：中标单位施工过程中应严格遵守相关法律、法规，按照规范流程做好防护后开展工作，由于中标单位在施工过程中安全防护不当导致工人或其他人员发生人身安全损害及事故的，一切后果与法律责任均由中标单位承担，与发包人无关。</w:t>
      </w:r>
    </w:p>
    <w:p>
      <w:pPr>
        <w:pStyle w:val="12"/>
        <w:keepNext w:val="0"/>
        <w:keepLines w:val="0"/>
        <w:pageBreakBefore w:val="0"/>
        <w:kinsoku/>
        <w:wordWrap/>
        <w:overflowPunct/>
        <w:topLinePunct w:val="0"/>
        <w:autoSpaceDE/>
        <w:bidi w:val="0"/>
        <w:adjustRightInd/>
        <w:snapToGrid w:val="0"/>
        <w:spacing w:line="440" w:lineRule="exact"/>
        <w:ind w:left="0" w:leftChars="0" w:firstLine="480" w:firstLineChars="200"/>
        <w:jc w:val="left"/>
        <w:textAlignment w:val="auto"/>
        <w:rPr>
          <w:rStyle w:val="14"/>
          <w:rFonts w:hint="eastAsia" w:ascii="宋体" w:hAnsi="宋体" w:eastAsia="宋体" w:cs="宋体"/>
          <w:color w:val="000000"/>
          <w:kern w:val="2"/>
          <w:sz w:val="24"/>
          <w:szCs w:val="24"/>
          <w:lang w:val="en-US" w:eastAsia="zh-CN" w:bidi="ar-SA"/>
        </w:rPr>
      </w:pPr>
      <w:r>
        <w:rPr>
          <w:rStyle w:val="14"/>
          <w:rFonts w:hint="eastAsia" w:ascii="宋体" w:hAnsi="宋体" w:eastAsia="宋体" w:cs="宋体"/>
          <w:color w:val="000000"/>
          <w:kern w:val="2"/>
          <w:sz w:val="24"/>
          <w:szCs w:val="24"/>
          <w:lang w:val="en-US" w:eastAsia="zh-CN" w:bidi="ar-SA"/>
        </w:rPr>
        <w:t>（十五）本项目预算包含施工所涉及到的一切费用。施工期间所产生的垃圾、拆除损坏的石材由中标单位自行送往处理，施工所涉及一切的设施设备（如脚手架、围挡、木工板辅材）均由中标单位自行提供，所产生的任何费用均由中标单位自行承担，发包人不再另行支付任何费用。</w:t>
      </w:r>
    </w:p>
    <w:p>
      <w:pPr>
        <w:keepNext w:val="0"/>
        <w:keepLines w:val="0"/>
        <w:pageBreakBefore w:val="0"/>
        <w:kinsoku/>
        <w:wordWrap/>
        <w:overflowPunct/>
        <w:topLinePunct w:val="0"/>
        <w:autoSpaceDE/>
        <w:bidi w:val="0"/>
        <w:adjustRightInd/>
        <w:snapToGrid w:val="0"/>
        <w:spacing w:line="440" w:lineRule="exact"/>
        <w:jc w:val="left"/>
        <w:textAlignment w:val="auto"/>
        <w:rPr>
          <w:rStyle w:val="14"/>
          <w:rFonts w:hint="eastAsia" w:ascii="宋体" w:hAnsi="宋体" w:eastAsia="宋体" w:cs="宋体"/>
          <w:color w:val="000000"/>
          <w:kern w:val="2"/>
          <w:sz w:val="24"/>
          <w:szCs w:val="24"/>
          <w:lang w:val="en-US" w:eastAsia="zh-CN" w:bidi="ar-SA"/>
        </w:rPr>
      </w:pPr>
    </w:p>
    <w:p>
      <w:pPr>
        <w:keepNext w:val="0"/>
        <w:keepLines w:val="0"/>
        <w:pageBreakBefore w:val="0"/>
        <w:kinsoku/>
        <w:wordWrap/>
        <w:overflowPunct/>
        <w:topLinePunct w:val="0"/>
        <w:autoSpaceDE/>
        <w:bidi w:val="0"/>
        <w:snapToGrid w:val="0"/>
        <w:spacing w:line="240" w:lineRule="auto"/>
        <w:ind w:firstLine="643" w:firstLineChars="200"/>
        <w:textAlignment w:val="auto"/>
        <w:rPr>
          <w:rFonts w:hint="eastAsia" w:ascii="仿宋" w:hAnsi="仿宋" w:eastAsia="仿宋" w:cs="仿宋"/>
          <w:b/>
          <w:color w:val="000000"/>
          <w:kern w:val="0"/>
          <w:sz w:val="32"/>
          <w:szCs w:val="32"/>
          <w:lang w:val="en-US" w:eastAsia="zh-CN"/>
        </w:rPr>
      </w:pPr>
    </w:p>
    <w:p>
      <w:pPr>
        <w:keepNext w:val="0"/>
        <w:keepLines w:val="0"/>
        <w:pageBreakBefore w:val="0"/>
        <w:kinsoku/>
        <w:wordWrap/>
        <w:overflowPunct/>
        <w:topLinePunct w:val="0"/>
        <w:autoSpaceDE/>
        <w:bidi w:val="0"/>
        <w:snapToGrid w:val="0"/>
        <w:spacing w:line="240" w:lineRule="auto"/>
        <w:ind w:firstLine="643" w:firstLineChars="200"/>
        <w:textAlignment w:val="auto"/>
        <w:rPr>
          <w:rFonts w:hint="default" w:ascii="仿宋" w:hAnsi="仿宋" w:eastAsia="仿宋" w:cs="仿宋"/>
          <w:b/>
          <w:color w:val="000000"/>
          <w:kern w:val="0"/>
          <w:sz w:val="32"/>
          <w:szCs w:val="32"/>
          <w:lang w:val="en-US" w:eastAsia="zh-CN"/>
        </w:rPr>
      </w:pPr>
      <w:r>
        <w:rPr>
          <w:rFonts w:hint="eastAsia" w:ascii="仿宋" w:hAnsi="仿宋" w:eastAsia="仿宋" w:cs="仿宋"/>
          <w:b/>
          <w:color w:val="000000"/>
          <w:kern w:val="0"/>
          <w:sz w:val="32"/>
          <w:szCs w:val="32"/>
          <w:lang w:val="en-US" w:eastAsia="zh-CN"/>
        </w:rPr>
        <w:t>附：石材干挂示意图</w:t>
      </w: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ascii="仿宋" w:hAnsi="仿宋" w:eastAsia="仿宋" w:cs="仿宋"/>
          <w:sz w:val="32"/>
          <w:szCs w:val="32"/>
          <w:lang w:eastAsia="zh-CN"/>
        </w:rPr>
      </w:pPr>
    </w:p>
    <w:p>
      <w:pPr>
        <w:pStyle w:val="33"/>
        <w:bidi w:val="0"/>
        <w:rPr>
          <w:rStyle w:val="14"/>
          <w:rFonts w:ascii="Calibri" w:hAnsi="Calibri" w:eastAsia="宋体" w:cs="Times New Roman"/>
        </w:rPr>
      </w:pPr>
      <w:r>
        <w:rPr>
          <w:rFonts w:hint="eastAsia" w:eastAsia="宋体"/>
          <w:lang w:eastAsia="zh-CN"/>
        </w:rPr>
        <w:drawing>
          <wp:inline distT="0" distB="0" distL="114300" distR="114300">
            <wp:extent cx="5212080" cy="4276090"/>
            <wp:effectExtent l="0" t="0" r="7620" b="10160"/>
            <wp:docPr id="2" name="图片 1" descr="0b496ef57bffc3a9cd8524a95f21b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0b496ef57bffc3a9cd8524a95f21bb8"/>
                    <pic:cNvPicPr>
                      <a:picLocks noChangeAspect="1"/>
                    </pic:cNvPicPr>
                  </pic:nvPicPr>
                  <pic:blipFill>
                    <a:blip r:embed="rId8"/>
                    <a:stretch>
                      <a:fillRect/>
                    </a:stretch>
                  </pic:blipFill>
                  <pic:spPr>
                    <a:xfrm>
                      <a:off x="0" y="0"/>
                      <a:ext cx="5212080" cy="4276090"/>
                    </a:xfrm>
                    <a:prstGeom prst="rect">
                      <a:avLst/>
                    </a:prstGeom>
                    <a:noFill/>
                    <a:ln>
                      <a:noFill/>
                    </a:ln>
                  </pic:spPr>
                </pic:pic>
              </a:graphicData>
            </a:graphic>
          </wp:inline>
        </w:drawing>
      </w:r>
      <w:r>
        <w:rPr>
          <w:rFonts w:hint="eastAsia" w:eastAsia="宋体"/>
          <w:lang w:eastAsia="zh-CN"/>
        </w:rPr>
        <w:drawing>
          <wp:inline distT="0" distB="0" distL="114300" distR="114300">
            <wp:extent cx="5183505" cy="4336415"/>
            <wp:effectExtent l="0" t="0" r="17145" b="6985"/>
            <wp:docPr id="1" name="图片 2" descr="4fd5744c89d2c32019bf6daa605da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4fd5744c89d2c32019bf6daa605daa9"/>
                    <pic:cNvPicPr>
                      <a:picLocks noChangeAspect="1"/>
                    </pic:cNvPicPr>
                  </pic:nvPicPr>
                  <pic:blipFill>
                    <a:blip r:embed="rId9"/>
                    <a:stretch>
                      <a:fillRect/>
                    </a:stretch>
                  </pic:blipFill>
                  <pic:spPr>
                    <a:xfrm>
                      <a:off x="0" y="0"/>
                      <a:ext cx="5183505" cy="4336415"/>
                    </a:xfrm>
                    <a:prstGeom prst="rect">
                      <a:avLst/>
                    </a:prstGeom>
                    <a:noFill/>
                    <a:ln>
                      <a:noFill/>
                    </a:ln>
                  </pic:spPr>
                </pic:pic>
              </a:graphicData>
            </a:graphic>
          </wp:inline>
        </w:drawing>
      </w:r>
    </w:p>
    <w:p>
      <w:pPr>
        <w:bidi w:val="0"/>
        <w:rPr>
          <w:color w:val="000080"/>
          <w:sz w:val="20"/>
          <w:highlight w:val="white"/>
        </w:rPr>
      </w:pPr>
      <w:r>
        <w:rPr>
          <w:color w:val="000080"/>
          <w:sz w:val="20"/>
          <w:highlight w:val="white"/>
        </w:rPr>
        <w:t xml:space="preserve"> </w:t>
      </w:r>
    </w:p>
    <w:p>
      <w:pPr>
        <w:wordWrap w:val="0"/>
        <w:bidi w:val="0"/>
        <w:jc w:val="center"/>
        <w:rPr>
          <w:b/>
          <w:bCs/>
          <w:kern w:val="44"/>
          <w:sz w:val="32"/>
          <w:szCs w:val="32"/>
        </w:rPr>
      </w:pPr>
      <w:r>
        <w:rPr>
          <w:sz w:val="28"/>
          <w:szCs w:val="28"/>
          <w:highlight w:val="white"/>
        </w:rPr>
        <w:br w:type="page"/>
      </w:r>
    </w:p>
    <w:p>
      <w:pPr>
        <w:wordWrap w:val="0"/>
        <w:bidi w:val="0"/>
      </w:pPr>
    </w:p>
    <w:p>
      <w:pPr>
        <w:pStyle w:val="2"/>
        <w:wordWrap w:val="0"/>
        <w:bidi w:val="0"/>
        <w:rPr>
          <w:rFonts w:hint="eastAsia"/>
        </w:rPr>
      </w:pPr>
      <w:bookmarkStart w:id="641" w:name="_Toc14612"/>
      <w:r>
        <w:rPr>
          <w:highlight w:val="white"/>
        </w:rPr>
        <w:t>第八章 投标文件格式</w:t>
      </w:r>
      <w:bookmarkEnd w:id="641"/>
    </w:p>
    <w:p>
      <w:pPr>
        <w:bidi w:val="0"/>
        <w:rPr>
          <w:rFonts w:hint="eastAsia"/>
          <w:highlight w:val="red"/>
        </w:rPr>
      </w:pPr>
    </w:p>
    <w:p>
      <w:pPr>
        <w:pStyle w:val="36"/>
        <w:bidi w:val="0"/>
        <w:jc w:val="left"/>
        <w:outlineLvl w:val="1"/>
        <w:rPr>
          <w:rStyle w:val="14"/>
        </w:rPr>
      </w:pPr>
      <w:r>
        <w:rPr>
          <w:rStyle w:val="14"/>
          <w:highlight w:val="white"/>
        </w:rPr>
        <w:br w:type="page"/>
      </w:r>
      <w:bookmarkStart w:id="642" w:name="_Toc18753"/>
      <w:r>
        <w:rPr>
          <w:rStyle w:val="14"/>
          <w:highlight w:val="white"/>
        </w:rPr>
        <w:t>封面</w:t>
      </w:r>
      <w:bookmarkEnd w:id="642"/>
    </w:p>
    <w:p>
      <w:pPr>
        <w:pStyle w:val="37"/>
        <w:shd w:val="clear" w:color="auto" w:fill="FFFFFF"/>
        <w:bidi w:val="0"/>
        <w:jc w:val="center"/>
        <w:rPr>
          <w:rStyle w:val="14"/>
          <w:rFonts w:hint="eastAsia" w:ascii="黑体" w:eastAsia="黑体" w:cs="黑体"/>
          <w:kern w:val="0"/>
          <w:sz w:val="24"/>
        </w:rPr>
      </w:pPr>
    </w:p>
    <w:p>
      <w:pPr>
        <w:pStyle w:val="37"/>
        <w:shd w:val="clear" w:color="auto" w:fill="FFFFFF"/>
        <w:bidi w:val="0"/>
        <w:jc w:val="center"/>
        <w:rPr>
          <w:rStyle w:val="14"/>
          <w:rFonts w:hint="eastAsia" w:ascii="黑体" w:eastAsia="黑体" w:cs="黑体"/>
          <w:kern w:val="0"/>
          <w:sz w:val="24"/>
        </w:rPr>
      </w:pPr>
    </w:p>
    <w:p>
      <w:pPr>
        <w:pStyle w:val="37"/>
        <w:shd w:val="clear" w:color="auto" w:fill="FFFFFF"/>
        <w:bidi w:val="0"/>
        <w:jc w:val="center"/>
        <w:rPr>
          <w:rStyle w:val="14"/>
          <w:rFonts w:hint="eastAsia" w:ascii="黑体" w:eastAsia="黑体" w:cs="黑体"/>
          <w:kern w:val="0"/>
          <w:sz w:val="24"/>
        </w:rPr>
      </w:pPr>
    </w:p>
    <w:p>
      <w:pPr>
        <w:pStyle w:val="37"/>
        <w:shd w:val="clear" w:color="auto" w:fill="FFFFFF"/>
        <w:bidi w:val="0"/>
        <w:jc w:val="center"/>
        <w:rPr>
          <w:rStyle w:val="14"/>
          <w:rFonts w:hint="eastAsia" w:ascii="黑体" w:eastAsia="黑体" w:cs="黑体"/>
          <w:kern w:val="0"/>
          <w:sz w:val="24"/>
        </w:rPr>
      </w:pPr>
    </w:p>
    <w:p>
      <w:pPr>
        <w:pStyle w:val="37"/>
        <w:bidi w:val="0"/>
        <w:jc w:val="center"/>
        <w:rPr>
          <w:rStyle w:val="14"/>
          <w:rFonts w:hint="eastAsia" w:eastAsia="黑体" w:cs="Times New Roman"/>
          <w:sz w:val="32"/>
          <w:szCs w:val="32"/>
        </w:rPr>
      </w:pPr>
      <w:r>
        <w:rPr>
          <w:rStyle w:val="14"/>
          <w:rFonts w:eastAsia="黑体" w:cs="Times New Roman"/>
          <w:sz w:val="32"/>
          <w:szCs w:val="32"/>
          <w:highlight w:val="white"/>
          <w:u w:val="single"/>
        </w:rPr>
        <w:t xml:space="preserve">                        </w:t>
      </w:r>
      <w:r>
        <w:rPr>
          <w:rStyle w:val="14"/>
          <w:rFonts w:hint="eastAsia" w:eastAsia="黑体" w:cs="Times New Roman"/>
          <w:sz w:val="32"/>
          <w:szCs w:val="32"/>
          <w:highlight w:val="white"/>
        </w:rPr>
        <w:t>标段施工招标</w:t>
      </w:r>
    </w:p>
    <w:p>
      <w:pPr>
        <w:pStyle w:val="37"/>
        <w:bidi w:val="0"/>
        <w:rPr>
          <w:rStyle w:val="14"/>
          <w:rFonts w:eastAsia="宋体" w:cs="Times New Roman"/>
          <w:b/>
          <w:szCs w:val="21"/>
        </w:rPr>
      </w:pPr>
    </w:p>
    <w:p>
      <w:pPr>
        <w:pStyle w:val="37"/>
        <w:bidi w:val="0"/>
        <w:rPr>
          <w:rStyle w:val="14"/>
          <w:rFonts w:eastAsia="宋体" w:cs="Times New Roman"/>
          <w:b/>
          <w:szCs w:val="21"/>
        </w:rPr>
      </w:pPr>
    </w:p>
    <w:p>
      <w:pPr>
        <w:pStyle w:val="37"/>
        <w:bidi w:val="0"/>
        <w:jc w:val="center"/>
        <w:rPr>
          <w:rStyle w:val="14"/>
          <w:rFonts w:eastAsia="黑体" w:cs="Times New Roman"/>
          <w:sz w:val="52"/>
          <w:szCs w:val="52"/>
        </w:rPr>
      </w:pPr>
      <w:r>
        <w:rPr>
          <w:rStyle w:val="14"/>
          <w:rFonts w:hint="eastAsia" w:eastAsia="黑体" w:cs="Times New Roman"/>
          <w:sz w:val="52"/>
          <w:szCs w:val="52"/>
          <w:highlight w:val="white"/>
        </w:rPr>
        <w:t>投</w:t>
      </w:r>
      <w:r>
        <w:rPr>
          <w:rStyle w:val="14"/>
          <w:rFonts w:eastAsia="黑体" w:cs="Times New Roman"/>
          <w:sz w:val="52"/>
          <w:szCs w:val="52"/>
          <w:highlight w:val="white"/>
        </w:rPr>
        <w:t xml:space="preserve">  </w:t>
      </w:r>
      <w:r>
        <w:rPr>
          <w:rStyle w:val="14"/>
          <w:rFonts w:hint="eastAsia" w:eastAsia="黑体" w:cs="Times New Roman"/>
          <w:sz w:val="52"/>
          <w:szCs w:val="52"/>
          <w:highlight w:val="white"/>
        </w:rPr>
        <w:t>标</w:t>
      </w:r>
      <w:r>
        <w:rPr>
          <w:rStyle w:val="14"/>
          <w:rFonts w:eastAsia="黑体" w:cs="Times New Roman"/>
          <w:sz w:val="52"/>
          <w:szCs w:val="52"/>
          <w:highlight w:val="white"/>
        </w:rPr>
        <w:t xml:space="preserve">  </w:t>
      </w:r>
      <w:r>
        <w:rPr>
          <w:rStyle w:val="14"/>
          <w:rFonts w:hint="eastAsia" w:eastAsia="黑体" w:cs="Times New Roman"/>
          <w:sz w:val="52"/>
          <w:szCs w:val="52"/>
          <w:highlight w:val="white"/>
        </w:rPr>
        <w:t>文</w:t>
      </w:r>
      <w:r>
        <w:rPr>
          <w:rStyle w:val="14"/>
          <w:rFonts w:eastAsia="黑体" w:cs="Times New Roman"/>
          <w:sz w:val="52"/>
          <w:szCs w:val="52"/>
          <w:highlight w:val="white"/>
        </w:rPr>
        <w:t xml:space="preserve">  </w:t>
      </w:r>
      <w:r>
        <w:rPr>
          <w:rStyle w:val="14"/>
          <w:rFonts w:hint="eastAsia" w:eastAsia="黑体" w:cs="Times New Roman"/>
          <w:sz w:val="52"/>
          <w:szCs w:val="52"/>
          <w:highlight w:val="white"/>
        </w:rPr>
        <w:t>件</w:t>
      </w:r>
    </w:p>
    <w:p>
      <w:pPr>
        <w:pStyle w:val="37"/>
        <w:bidi w:val="0"/>
        <w:jc w:val="center"/>
        <w:rPr>
          <w:rStyle w:val="14"/>
          <w:rFonts w:eastAsia="宋体" w:cs="Times New Roman"/>
          <w:szCs w:val="21"/>
        </w:rPr>
      </w:pPr>
      <w:r>
        <w:rPr>
          <w:rStyle w:val="14"/>
          <w:rFonts w:hint="eastAsia" w:ascii="宋体" w:hAnsi="宋体" w:eastAsia="宋体" w:cs="Times New Roman"/>
          <w:sz w:val="28"/>
          <w:szCs w:val="28"/>
          <w:highlight w:val="white"/>
        </w:rPr>
        <w:t>标段编号：</w:t>
      </w: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rPr>
          <w:rStyle w:val="14"/>
          <w:rFonts w:eastAsia="宋体" w:cs="Times New Roman"/>
          <w:szCs w:val="21"/>
        </w:rPr>
      </w:pPr>
    </w:p>
    <w:p>
      <w:pPr>
        <w:pStyle w:val="37"/>
        <w:bidi w:val="0"/>
        <w:jc w:val="center"/>
        <w:rPr>
          <w:rStyle w:val="14"/>
          <w:rFonts w:eastAsia="黑体" w:cs="Times New Roman"/>
          <w:sz w:val="28"/>
          <w:szCs w:val="28"/>
          <w:u w:val="single"/>
        </w:rPr>
      </w:pPr>
      <w:r>
        <w:rPr>
          <w:rStyle w:val="14"/>
          <w:rFonts w:hint="eastAsia" w:eastAsia="黑体" w:cs="Times New Roman"/>
          <w:sz w:val="28"/>
          <w:szCs w:val="28"/>
          <w:highlight w:val="white"/>
        </w:rPr>
        <w:t>投标人：</w:t>
      </w:r>
      <w:r>
        <w:rPr>
          <w:rStyle w:val="14"/>
          <w:rFonts w:eastAsia="黑体" w:cs="Times New Roman"/>
          <w:sz w:val="28"/>
          <w:szCs w:val="28"/>
          <w:highlight w:val="white"/>
          <w:u w:val="single"/>
        </w:rPr>
        <w:t xml:space="preserve">                              </w:t>
      </w:r>
      <w:r>
        <w:rPr>
          <w:rStyle w:val="14"/>
          <w:rFonts w:hint="eastAsia" w:eastAsia="黑体" w:cs="Times New Roman"/>
          <w:sz w:val="28"/>
          <w:szCs w:val="28"/>
          <w:highlight w:val="white"/>
        </w:rPr>
        <w:t>（</w:t>
      </w:r>
      <w:r>
        <w:rPr>
          <w:rStyle w:val="14"/>
          <w:rFonts w:hint="eastAsia" w:eastAsia="黑体" w:cs="Times New Roman"/>
          <w:sz w:val="28"/>
          <w:szCs w:val="28"/>
          <w:highlight w:val="white"/>
          <w:lang w:val="en-US" w:eastAsia="zh-CN"/>
        </w:rPr>
        <w:t>单位公章</w:t>
      </w:r>
      <w:r>
        <w:rPr>
          <w:rStyle w:val="14"/>
          <w:rFonts w:hint="eastAsia" w:eastAsia="黑体" w:cs="Times New Roman"/>
          <w:sz w:val="28"/>
          <w:szCs w:val="28"/>
          <w:highlight w:val="white"/>
        </w:rPr>
        <w:t>）</w:t>
      </w:r>
    </w:p>
    <w:p>
      <w:pPr>
        <w:pStyle w:val="37"/>
        <w:bidi w:val="0"/>
        <w:jc w:val="center"/>
        <w:rPr>
          <w:rStyle w:val="14"/>
          <w:rFonts w:hint="eastAsia" w:eastAsia="黑体" w:cs="Times New Roman"/>
          <w:sz w:val="28"/>
          <w:szCs w:val="28"/>
        </w:rPr>
      </w:pPr>
      <w:r>
        <w:rPr>
          <w:rStyle w:val="14"/>
          <w:rFonts w:hint="eastAsia" w:eastAsia="黑体" w:cs="Times New Roman"/>
          <w:sz w:val="28"/>
          <w:szCs w:val="28"/>
          <w:highlight w:val="white"/>
        </w:rPr>
        <w:t>法定代表人：</w:t>
      </w:r>
      <w:r>
        <w:rPr>
          <w:rStyle w:val="14"/>
          <w:rFonts w:eastAsia="黑体" w:cs="Times New Roman"/>
          <w:sz w:val="28"/>
          <w:szCs w:val="28"/>
          <w:highlight w:val="white"/>
          <w:u w:val="single"/>
        </w:rPr>
        <w:t xml:space="preserve">                          </w:t>
      </w:r>
      <w:r>
        <w:rPr>
          <w:rStyle w:val="14"/>
          <w:rFonts w:hint="eastAsia" w:eastAsia="黑体" w:cs="Times New Roman"/>
          <w:sz w:val="28"/>
          <w:szCs w:val="28"/>
          <w:highlight w:val="white"/>
        </w:rPr>
        <w:t>（</w:t>
      </w:r>
      <w:r>
        <w:rPr>
          <w:rStyle w:val="14"/>
          <w:rFonts w:hint="eastAsia" w:eastAsia="黑体" w:cs="Times New Roman"/>
          <w:sz w:val="28"/>
          <w:szCs w:val="28"/>
          <w:highlight w:val="white"/>
          <w:lang w:val="en-US" w:eastAsia="zh-CN"/>
        </w:rPr>
        <w:t>签字或</w:t>
      </w:r>
      <w:r>
        <w:rPr>
          <w:rStyle w:val="14"/>
          <w:rFonts w:hint="eastAsia" w:eastAsia="黑体" w:cs="Times New Roman"/>
          <w:sz w:val="28"/>
          <w:szCs w:val="28"/>
          <w:highlight w:val="white"/>
        </w:rPr>
        <w:t>签章）</w:t>
      </w:r>
    </w:p>
    <w:p>
      <w:pPr>
        <w:pStyle w:val="37"/>
        <w:bidi w:val="0"/>
        <w:jc w:val="center"/>
        <w:rPr>
          <w:rStyle w:val="14"/>
          <w:rFonts w:eastAsia="黑体" w:cs="Times New Roman"/>
          <w:sz w:val="28"/>
          <w:szCs w:val="28"/>
        </w:rPr>
      </w:pPr>
      <w:r>
        <w:rPr>
          <w:rStyle w:val="14"/>
          <w:rFonts w:eastAsia="黑体" w:cs="Times New Roman"/>
          <w:sz w:val="28"/>
          <w:szCs w:val="28"/>
          <w:highlight w:val="white"/>
          <w:u w:val="single"/>
        </w:rPr>
        <w:t xml:space="preserve">        </w:t>
      </w:r>
      <w:r>
        <w:rPr>
          <w:rStyle w:val="14"/>
          <w:rFonts w:hint="eastAsia" w:eastAsia="黑体" w:cs="Times New Roman"/>
          <w:sz w:val="28"/>
          <w:szCs w:val="28"/>
          <w:highlight w:val="white"/>
        </w:rPr>
        <w:t>年</w:t>
      </w:r>
      <w:r>
        <w:rPr>
          <w:rStyle w:val="14"/>
          <w:rFonts w:eastAsia="黑体" w:cs="Times New Roman"/>
          <w:sz w:val="28"/>
          <w:szCs w:val="28"/>
          <w:highlight w:val="white"/>
          <w:u w:val="single"/>
        </w:rPr>
        <w:t xml:space="preserve">        </w:t>
      </w:r>
      <w:r>
        <w:rPr>
          <w:rStyle w:val="14"/>
          <w:rFonts w:hint="eastAsia" w:eastAsia="黑体" w:cs="Times New Roman"/>
          <w:sz w:val="28"/>
          <w:szCs w:val="28"/>
          <w:highlight w:val="white"/>
        </w:rPr>
        <w:t>月</w:t>
      </w:r>
      <w:r>
        <w:rPr>
          <w:rStyle w:val="14"/>
          <w:rFonts w:eastAsia="黑体" w:cs="Times New Roman"/>
          <w:sz w:val="28"/>
          <w:szCs w:val="28"/>
          <w:highlight w:val="white"/>
          <w:u w:val="single"/>
        </w:rPr>
        <w:t xml:space="preserve">        </w:t>
      </w:r>
      <w:r>
        <w:rPr>
          <w:rStyle w:val="14"/>
          <w:rFonts w:hint="eastAsia" w:eastAsia="黑体" w:cs="Times New Roman"/>
          <w:sz w:val="28"/>
          <w:szCs w:val="28"/>
          <w:highlight w:val="white"/>
        </w:rPr>
        <w:t>日</w:t>
      </w:r>
    </w:p>
    <w:p>
      <w:pPr>
        <w:pStyle w:val="38"/>
        <w:bidi w:val="0"/>
        <w:rPr>
          <w:rStyle w:val="14"/>
          <w:rFonts w:ascii="Calibri" w:hAnsi="Calibri" w:eastAsia="宋体" w:cs="Times New Roman"/>
        </w:rPr>
      </w:pPr>
    </w:p>
    <w:p>
      <w:pPr>
        <w:bidi w:val="0"/>
        <w:rPr>
          <w:rFonts w:hint="eastAsia"/>
          <w:highlight w:val="red"/>
        </w:rPr>
      </w:pPr>
    </w:p>
    <w:p>
      <w:pPr>
        <w:pStyle w:val="39"/>
        <w:bidi w:val="0"/>
        <w:jc w:val="center"/>
        <w:outlineLvl w:val="1"/>
        <w:rPr>
          <w:rStyle w:val="14"/>
        </w:rPr>
      </w:pPr>
      <w:r>
        <w:rPr>
          <w:rStyle w:val="14"/>
          <w:highlight w:val="white"/>
        </w:rPr>
        <w:br w:type="page"/>
      </w:r>
      <w:bookmarkStart w:id="643" w:name="_Toc8522"/>
      <w:r>
        <w:rPr>
          <w:rStyle w:val="14"/>
          <w:highlight w:val="white"/>
        </w:rPr>
        <w:t>目录</w:t>
      </w:r>
      <w:bookmarkEnd w:id="643"/>
    </w:p>
    <w:p>
      <w:pPr>
        <w:pStyle w:val="40"/>
        <w:bidi w:val="0"/>
        <w:rPr>
          <w:rStyle w:val="14"/>
          <w:rFonts w:ascii="Times New Roman" w:hAnsi="Times New Roman" w:eastAsia="Times New Roman" w:cs="Times New Roman"/>
        </w:rPr>
      </w:pPr>
      <w:r>
        <w:rPr>
          <w:rStyle w:val="14"/>
          <w:rFonts w:ascii="宋体" w:hAnsi="宋体" w:eastAsia="宋体" w:cs="宋体"/>
          <w:highlight w:val="white"/>
          <w:rtl w:val="0"/>
        </w:rPr>
        <w:t>一、投标函</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二、法定代表人身份证明</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三、授权委托书</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四、授权身份证</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五、投标保证金</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六、投标人基本情况</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七、项目负责人简历</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八、社会保险证明</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九、企业信息</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十、已标价的工程量清单</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十一、履约保证金缴纳承诺函</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十二、项目负责人无在建工程等承诺书</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十三、投标文件商务条款及技术条款偏离表</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十四、用工承诺书</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十五、投标一览表</w:t>
      </w:r>
      <w:r>
        <w:rPr>
          <w:rStyle w:val="14"/>
          <w:rFonts w:ascii="Times New Roman" w:hAnsi="Times New Roman" w:eastAsia="Times New Roman" w:cs="Times New Roman"/>
          <w:highlight w:val="white"/>
        </w:rPr>
        <w:br w:type="textWrapping"/>
      </w:r>
      <w:r>
        <w:rPr>
          <w:rStyle w:val="14"/>
          <w:rFonts w:ascii="宋体" w:hAnsi="宋体" w:eastAsia="宋体" w:cs="宋体"/>
          <w:highlight w:val="white"/>
          <w:rtl w:val="0"/>
        </w:rPr>
        <w:t>十六、其他材料</w:t>
      </w:r>
    </w:p>
    <w:p>
      <w:pPr>
        <w:bidi w:val="0"/>
        <w:rPr>
          <w:rFonts w:hint="eastAsia"/>
          <w:highlight w:val="red"/>
        </w:rPr>
      </w:pPr>
    </w:p>
    <w:p>
      <w:pPr>
        <w:pStyle w:val="41"/>
        <w:bidi w:val="0"/>
        <w:jc w:val="left"/>
        <w:outlineLvl w:val="1"/>
        <w:rPr>
          <w:rStyle w:val="14"/>
        </w:rPr>
      </w:pPr>
      <w:r>
        <w:rPr>
          <w:rStyle w:val="14"/>
          <w:highlight w:val="white"/>
        </w:rPr>
        <w:br w:type="page"/>
      </w:r>
      <w:bookmarkStart w:id="644" w:name="_Toc31660"/>
      <w:r>
        <w:rPr>
          <w:rStyle w:val="14"/>
          <w:highlight w:val="white"/>
        </w:rPr>
        <w:t>一、投标函</w:t>
      </w:r>
      <w:bookmarkEnd w:id="644"/>
    </w:p>
    <w:p>
      <w:pPr>
        <w:pStyle w:val="42"/>
        <w:bidi w:val="0"/>
        <w:spacing w:line="360" w:lineRule="exact"/>
        <w:rPr>
          <w:rStyle w:val="14"/>
          <w:rFonts w:ascii="Calibri" w:hAnsi="Calibri" w:eastAsia="宋体" w:cs="Times New Roman"/>
          <w:b/>
          <w:szCs w:val="21"/>
        </w:rPr>
      </w:pPr>
    </w:p>
    <w:p>
      <w:pPr>
        <w:pStyle w:val="42"/>
        <w:bidi w:val="0"/>
        <w:spacing w:before="100" w:beforeAutospacing="1" w:after="100" w:afterAutospacing="1" w:line="360" w:lineRule="exact"/>
        <w:rPr>
          <w:rStyle w:val="14"/>
          <w:rFonts w:ascii="Calibri" w:hAnsi="Calibri" w:eastAsia="宋体" w:cs="Times New Roman"/>
          <w:szCs w:val="21"/>
        </w:rPr>
      </w:pP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w:t>
      </w:r>
    </w:p>
    <w:p>
      <w:pPr>
        <w:pStyle w:val="42"/>
        <w:bidi w:val="0"/>
        <w:spacing w:line="360" w:lineRule="exact"/>
        <w:rPr>
          <w:rStyle w:val="14"/>
          <w:rFonts w:ascii="Calibri" w:hAnsi="Calibri" w:eastAsia="宋体" w:cs="Times New Roman"/>
          <w:szCs w:val="21"/>
        </w:rPr>
      </w:pPr>
    </w:p>
    <w:p>
      <w:pPr>
        <w:pStyle w:val="42"/>
        <w:bidi w:val="0"/>
        <w:spacing w:line="360" w:lineRule="exact"/>
        <w:ind w:firstLine="420" w:firstLineChars="200"/>
        <w:rPr>
          <w:rStyle w:val="14"/>
          <w:rFonts w:ascii="Calibri" w:hAnsi="Calibri" w:eastAsia="宋体" w:cs="Times New Roman"/>
          <w:szCs w:val="21"/>
        </w:rPr>
      </w:pPr>
      <w:r>
        <w:rPr>
          <w:rStyle w:val="14"/>
          <w:rFonts w:ascii="Calibri" w:hAnsi="Calibri" w:eastAsia="宋体" w:cs="Times New Roman"/>
          <w:szCs w:val="21"/>
          <w:highlight w:val="white"/>
        </w:rPr>
        <w:t>1</w:t>
      </w:r>
      <w:r>
        <w:rPr>
          <w:rStyle w:val="14"/>
          <w:rFonts w:hint="eastAsia" w:ascii="Calibri" w:hAnsi="宋体" w:eastAsia="宋体" w:cs="Times New Roman"/>
          <w:szCs w:val="21"/>
          <w:highlight w:val="white"/>
        </w:rPr>
        <w:t>．我方已仔细研究了</w:t>
      </w: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标段施工招标文件的全部内容，愿意以人民币（大写）</w:t>
      </w: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元（</w:t>
      </w:r>
      <w:r>
        <w:rPr>
          <w:rStyle w:val="14"/>
          <w:rFonts w:ascii="Calibri" w:hAnsi="Calibri" w:eastAsia="宋体" w:cs="Times New Roman"/>
          <w:szCs w:val="21"/>
          <w:highlight w:val="white"/>
        </w:rPr>
        <w:t>¥</w:t>
      </w: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）的投标总报价，工期</w:t>
      </w: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日历天，按合同约定实施和完成承包工程，修补工程中的任何缺陷，工程质量达到</w:t>
      </w:r>
      <w:r>
        <w:rPr>
          <w:rStyle w:val="14"/>
          <w:rFonts w:ascii="Calibri" w:hAnsi="Calibri" w:eastAsia="宋体" w:cs="Times New Roman"/>
          <w:szCs w:val="21"/>
          <w:highlight w:val="white"/>
          <w:u w:val="single"/>
        </w:rPr>
        <w:t xml:space="preserve">           </w:t>
      </w:r>
      <w:r>
        <w:rPr>
          <w:rStyle w:val="14"/>
          <w:rFonts w:ascii="Calibri" w:hAnsi="Calibri" w:eastAsia="宋体" w:cs="Times New Roman"/>
          <w:szCs w:val="21"/>
          <w:highlight w:val="white"/>
        </w:rPr>
        <w:t xml:space="preserve"> </w:t>
      </w:r>
      <w:r>
        <w:rPr>
          <w:rStyle w:val="14"/>
          <w:rFonts w:hint="eastAsia" w:ascii="Calibri" w:hAnsi="宋体" w:eastAsia="宋体" w:cs="Times New Roman"/>
          <w:szCs w:val="21"/>
          <w:highlight w:val="white"/>
        </w:rPr>
        <w:t>。</w:t>
      </w:r>
    </w:p>
    <w:p>
      <w:pPr>
        <w:pStyle w:val="42"/>
        <w:bidi w:val="0"/>
        <w:spacing w:line="360" w:lineRule="exact"/>
        <w:ind w:firstLine="420" w:firstLineChars="200"/>
        <w:rPr>
          <w:rStyle w:val="14"/>
          <w:rFonts w:ascii="Calibri" w:hAnsi="Calibri" w:eastAsia="宋体" w:cs="Times New Roman"/>
          <w:szCs w:val="21"/>
        </w:rPr>
      </w:pPr>
      <w:r>
        <w:rPr>
          <w:rStyle w:val="14"/>
          <w:rFonts w:ascii="Calibri" w:hAnsi="Calibri" w:eastAsia="宋体" w:cs="Times New Roman"/>
          <w:szCs w:val="21"/>
          <w:highlight w:val="white"/>
        </w:rPr>
        <w:t>2</w:t>
      </w:r>
      <w:r>
        <w:rPr>
          <w:rStyle w:val="14"/>
          <w:rFonts w:hint="eastAsia" w:ascii="Calibri" w:hAnsi="宋体" w:eastAsia="宋体" w:cs="Times New Roman"/>
          <w:szCs w:val="21"/>
          <w:highlight w:val="white"/>
        </w:rPr>
        <w:t>．我方承诺在投标有效期内不修改、撤销投标文件。</w:t>
      </w:r>
    </w:p>
    <w:p>
      <w:pPr>
        <w:pStyle w:val="42"/>
        <w:bidi w:val="0"/>
        <w:spacing w:line="360" w:lineRule="exact"/>
        <w:ind w:firstLine="420" w:firstLineChars="200"/>
        <w:rPr>
          <w:rStyle w:val="14"/>
          <w:rFonts w:ascii="Calibri" w:hAnsi="Calibri" w:eastAsia="宋体" w:cs="Times New Roman"/>
          <w:szCs w:val="21"/>
        </w:rPr>
      </w:pPr>
      <w:r>
        <w:rPr>
          <w:rStyle w:val="14"/>
          <w:rFonts w:ascii="Calibri" w:hAnsi="Calibri" w:eastAsia="宋体" w:cs="Times New Roman"/>
          <w:szCs w:val="21"/>
          <w:highlight w:val="white"/>
        </w:rPr>
        <w:t>3</w:t>
      </w:r>
      <w:r>
        <w:rPr>
          <w:rStyle w:val="14"/>
          <w:rFonts w:hint="eastAsia" w:ascii="Calibri" w:hAnsi="宋体" w:eastAsia="宋体" w:cs="Times New Roman"/>
          <w:szCs w:val="21"/>
          <w:highlight w:val="white"/>
        </w:rPr>
        <w:t>．如我方中标：</w:t>
      </w:r>
    </w:p>
    <w:p>
      <w:pPr>
        <w:pStyle w:val="42"/>
        <w:bidi w:val="0"/>
        <w:spacing w:line="360" w:lineRule="exact"/>
        <w:ind w:firstLine="718" w:firstLineChars="342"/>
        <w:rPr>
          <w:rStyle w:val="14"/>
          <w:rFonts w:ascii="Calibri" w:hAnsi="Calibri" w:eastAsia="宋体" w:cs="Times New Roman"/>
          <w:szCs w:val="21"/>
        </w:rPr>
      </w:pPr>
      <w:r>
        <w:rPr>
          <w:rStyle w:val="14"/>
          <w:rFonts w:hint="eastAsia" w:ascii="Calibri" w:hAnsi="宋体" w:eastAsia="宋体" w:cs="Times New Roman"/>
          <w:szCs w:val="21"/>
          <w:highlight w:val="white"/>
        </w:rPr>
        <w:t>（</w:t>
      </w:r>
      <w:r>
        <w:rPr>
          <w:rStyle w:val="14"/>
          <w:rFonts w:ascii="Calibri" w:hAnsi="Calibri" w:eastAsia="宋体" w:cs="Times New Roman"/>
          <w:szCs w:val="21"/>
          <w:highlight w:val="white"/>
        </w:rPr>
        <w:t>1</w:t>
      </w:r>
      <w:r>
        <w:rPr>
          <w:rStyle w:val="14"/>
          <w:rFonts w:hint="eastAsia" w:ascii="Calibri" w:hAnsi="宋体" w:eastAsia="宋体" w:cs="Times New Roman"/>
          <w:szCs w:val="21"/>
          <w:highlight w:val="white"/>
        </w:rPr>
        <w:t>）我方承诺在收到中标通知书后，在中标通知书规定的期限内与你方签订合同。</w:t>
      </w:r>
    </w:p>
    <w:p>
      <w:pPr>
        <w:pStyle w:val="42"/>
        <w:bidi w:val="0"/>
        <w:spacing w:line="360" w:lineRule="exact"/>
        <w:ind w:firstLine="718" w:firstLineChars="342"/>
        <w:rPr>
          <w:rStyle w:val="14"/>
          <w:rFonts w:ascii="Calibri" w:hAnsi="Calibri" w:eastAsia="宋体" w:cs="Times New Roman"/>
          <w:szCs w:val="21"/>
        </w:rPr>
      </w:pPr>
      <w:r>
        <w:rPr>
          <w:rStyle w:val="14"/>
          <w:rFonts w:hint="eastAsia" w:ascii="Calibri" w:hAnsi="宋体" w:eastAsia="宋体" w:cs="Times New Roman"/>
          <w:szCs w:val="21"/>
          <w:highlight w:val="white"/>
        </w:rPr>
        <w:t>（</w:t>
      </w:r>
      <w:r>
        <w:rPr>
          <w:rStyle w:val="14"/>
          <w:rFonts w:ascii="Calibri" w:hAnsi="宋体" w:eastAsia="宋体" w:cs="Times New Roman"/>
          <w:szCs w:val="21"/>
          <w:highlight w:val="white"/>
        </w:rPr>
        <w:t>2</w:t>
      </w:r>
      <w:r>
        <w:rPr>
          <w:rStyle w:val="14"/>
          <w:rFonts w:hint="eastAsia" w:ascii="Calibri" w:hAnsi="宋体" w:eastAsia="宋体" w:cs="Times New Roman"/>
          <w:szCs w:val="21"/>
          <w:highlight w:val="white"/>
        </w:rPr>
        <w:t>）我方承诺按照招标文件规定向你方提交履约担保。</w:t>
      </w:r>
    </w:p>
    <w:p>
      <w:pPr>
        <w:pStyle w:val="42"/>
        <w:bidi w:val="0"/>
        <w:spacing w:line="360" w:lineRule="exact"/>
        <w:ind w:firstLine="718" w:firstLineChars="342"/>
        <w:rPr>
          <w:rStyle w:val="14"/>
          <w:rFonts w:ascii="Calibri" w:hAnsi="宋体" w:eastAsia="宋体" w:cs="Times New Roman"/>
          <w:szCs w:val="21"/>
        </w:rPr>
      </w:pPr>
      <w:r>
        <w:rPr>
          <w:rStyle w:val="14"/>
          <w:rFonts w:hint="eastAsia" w:ascii="Calibri" w:hAnsi="宋体" w:eastAsia="宋体" w:cs="Times New Roman"/>
          <w:szCs w:val="21"/>
          <w:highlight w:val="white"/>
        </w:rPr>
        <w:t>（</w:t>
      </w:r>
      <w:r>
        <w:rPr>
          <w:rStyle w:val="14"/>
          <w:rFonts w:ascii="Calibri" w:hAnsi="宋体" w:eastAsia="宋体" w:cs="Times New Roman"/>
          <w:szCs w:val="21"/>
          <w:highlight w:val="white"/>
        </w:rPr>
        <w:t>3</w:t>
      </w:r>
      <w:r>
        <w:rPr>
          <w:rStyle w:val="14"/>
          <w:rFonts w:hint="eastAsia" w:ascii="Calibri" w:hAnsi="宋体" w:eastAsia="宋体" w:cs="Times New Roman"/>
          <w:szCs w:val="21"/>
          <w:highlight w:val="white"/>
        </w:rPr>
        <w:t>）我方承诺在合同约定的期限内完成并移交全部合同工程。</w:t>
      </w:r>
    </w:p>
    <w:p>
      <w:pPr>
        <w:pStyle w:val="42"/>
        <w:bidi w:val="0"/>
        <w:spacing w:line="360" w:lineRule="exact"/>
        <w:ind w:firstLine="420" w:firstLineChars="200"/>
        <w:rPr>
          <w:rStyle w:val="14"/>
          <w:rFonts w:ascii="Calibri" w:hAnsi="宋体" w:eastAsia="宋体" w:cs="Times New Roman"/>
          <w:szCs w:val="21"/>
        </w:rPr>
      </w:pPr>
      <w:r>
        <w:rPr>
          <w:rStyle w:val="14"/>
          <w:rFonts w:ascii="Calibri" w:hAnsi="Calibri" w:eastAsia="宋体" w:cs="Times New Roman"/>
          <w:szCs w:val="21"/>
          <w:highlight w:val="white"/>
        </w:rPr>
        <w:t>4</w:t>
      </w:r>
      <w:r>
        <w:rPr>
          <w:rStyle w:val="14"/>
          <w:rFonts w:hint="eastAsia" w:ascii="Calibri" w:hAnsi="宋体" w:eastAsia="宋体" w:cs="Times New Roman"/>
          <w:szCs w:val="21"/>
          <w:highlight w:val="white"/>
        </w:rPr>
        <w:t>．我方在此声明，所提交的投标文件及有关资料内容完整、真实和准确，且不存在第二章</w:t>
      </w:r>
      <w:r>
        <w:rPr>
          <w:rStyle w:val="14"/>
          <w:rFonts w:ascii="Calibri" w:hAnsi="Calibri" w:eastAsia="宋体" w:cs="Times New Roman"/>
          <w:szCs w:val="21"/>
          <w:highlight w:val="white"/>
        </w:rPr>
        <w:t>“</w:t>
      </w:r>
      <w:r>
        <w:rPr>
          <w:rStyle w:val="14"/>
          <w:rFonts w:hint="eastAsia" w:ascii="Calibri" w:hAnsi="宋体" w:eastAsia="宋体" w:cs="Times New Roman"/>
          <w:szCs w:val="21"/>
          <w:highlight w:val="white"/>
        </w:rPr>
        <w:t>投标人须知</w:t>
      </w:r>
      <w:r>
        <w:rPr>
          <w:rStyle w:val="14"/>
          <w:rFonts w:ascii="Calibri" w:hAnsi="Calibri" w:eastAsia="宋体" w:cs="Times New Roman"/>
          <w:szCs w:val="21"/>
          <w:highlight w:val="white"/>
        </w:rPr>
        <w:t>”</w:t>
      </w:r>
      <w:r>
        <w:rPr>
          <w:rStyle w:val="14"/>
          <w:rFonts w:hint="eastAsia" w:ascii="Calibri" w:hAnsi="宋体" w:eastAsia="宋体" w:cs="Times New Roman"/>
          <w:szCs w:val="21"/>
          <w:highlight w:val="white"/>
        </w:rPr>
        <w:t>第</w:t>
      </w:r>
      <w:r>
        <w:rPr>
          <w:rStyle w:val="14"/>
          <w:rFonts w:ascii="Calibri" w:hAnsi="Calibri" w:eastAsia="宋体" w:cs="Times New Roman"/>
          <w:szCs w:val="21"/>
          <w:highlight w:val="white"/>
        </w:rPr>
        <w:t>1.4.3</w:t>
      </w:r>
      <w:r>
        <w:rPr>
          <w:rStyle w:val="14"/>
          <w:rFonts w:hint="eastAsia" w:ascii="Calibri" w:hAnsi="宋体" w:eastAsia="宋体" w:cs="Times New Roman"/>
          <w:szCs w:val="21"/>
          <w:highlight w:val="white"/>
        </w:rPr>
        <w:t>项规定的任何一种情形。</w:t>
      </w:r>
    </w:p>
    <w:p>
      <w:pPr>
        <w:pStyle w:val="42"/>
        <w:bidi w:val="0"/>
        <w:spacing w:line="360" w:lineRule="exact"/>
        <w:ind w:firstLine="420" w:firstLineChars="200"/>
        <w:rPr>
          <w:rStyle w:val="14"/>
          <w:rFonts w:ascii="Calibri" w:hAnsi="宋体" w:eastAsia="宋体" w:cs="Times New Roman"/>
          <w:szCs w:val="21"/>
        </w:rPr>
      </w:pPr>
      <w:r>
        <w:rPr>
          <w:rStyle w:val="14"/>
          <w:rFonts w:ascii="Calibri" w:hAnsi="宋体" w:eastAsia="宋体" w:cs="Times New Roman"/>
          <w:szCs w:val="21"/>
          <w:highlight w:val="white"/>
        </w:rPr>
        <w:t xml:space="preserve">5. </w:t>
      </w:r>
      <w:r>
        <w:rPr>
          <w:rStyle w:val="14"/>
          <w:rFonts w:hint="eastAsia" w:ascii="Calibri" w:hAnsi="宋体" w:eastAsia="宋体" w:cs="Times New Roman"/>
          <w:szCs w:val="21"/>
          <w:highlight w:val="white"/>
        </w:rPr>
        <w:t>不论何种原因，电子招标系统无法接收、解密或者导入我方的电子投标文件，责任由我方承担。</w:t>
      </w:r>
    </w:p>
    <w:p>
      <w:pPr>
        <w:pStyle w:val="42"/>
        <w:bidi w:val="0"/>
        <w:spacing w:line="360" w:lineRule="exact"/>
        <w:ind w:firstLine="420" w:firstLineChars="200"/>
        <w:rPr>
          <w:rStyle w:val="14"/>
          <w:rFonts w:ascii="Calibri" w:hAnsi="Calibri" w:eastAsia="宋体" w:cs="Times New Roman"/>
          <w:szCs w:val="21"/>
        </w:rPr>
      </w:pPr>
      <w:r>
        <w:rPr>
          <w:rStyle w:val="14"/>
          <w:rFonts w:ascii="Calibri" w:hAnsi="Calibri" w:eastAsia="宋体" w:cs="Times New Roman"/>
          <w:szCs w:val="21"/>
          <w:highlight w:val="white"/>
        </w:rPr>
        <w:t>6</w:t>
      </w:r>
      <w:r>
        <w:rPr>
          <w:rStyle w:val="14"/>
          <w:rFonts w:hint="eastAsia" w:ascii="Calibri" w:hAnsi="Calibri" w:eastAsia="宋体" w:cs="Times New Roman"/>
          <w:szCs w:val="21"/>
          <w:highlight w:val="white"/>
        </w:rPr>
        <w:t>．我方针对本项目其他承诺</w:t>
      </w:r>
      <w:r>
        <w:rPr>
          <w:rStyle w:val="14"/>
          <w:rFonts w:ascii="Calibri" w:hAnsi="Calibri" w:eastAsia="宋体" w:cs="Times New Roman"/>
          <w:szCs w:val="21"/>
          <w:highlight w:val="white"/>
          <w:u w:val="single"/>
        </w:rPr>
        <w:t xml:space="preserve">      </w:t>
      </w:r>
      <w:r>
        <w:rPr>
          <w:rStyle w:val="14"/>
          <w:rFonts w:hint="eastAsia" w:ascii="Calibri" w:hAnsi="Calibri" w:eastAsia="宋体" w:cs="Times New Roman"/>
          <w:szCs w:val="21"/>
          <w:highlight w:val="white"/>
          <w:u w:val="single"/>
        </w:rPr>
        <w:t>（如有）</w:t>
      </w:r>
      <w:r>
        <w:rPr>
          <w:rStyle w:val="14"/>
          <w:rFonts w:ascii="Calibri" w:hAnsi="Calibri" w:eastAsia="宋体" w:cs="Times New Roman"/>
          <w:szCs w:val="21"/>
          <w:highlight w:val="white"/>
          <w:u w:val="single"/>
        </w:rPr>
        <w:t xml:space="preserve">           </w:t>
      </w:r>
      <w:r>
        <w:rPr>
          <w:rStyle w:val="14"/>
          <w:rFonts w:hint="eastAsia" w:ascii="Calibri" w:hAnsi="Calibri" w:eastAsia="宋体" w:cs="Times New Roman"/>
          <w:szCs w:val="21"/>
          <w:highlight w:val="white"/>
        </w:rPr>
        <w:t>。</w:t>
      </w:r>
    </w:p>
    <w:p>
      <w:pPr>
        <w:pStyle w:val="42"/>
        <w:bidi w:val="0"/>
        <w:spacing w:line="360" w:lineRule="exact"/>
        <w:ind w:firstLine="3675" w:firstLineChars="1750"/>
        <w:rPr>
          <w:rStyle w:val="14"/>
          <w:rFonts w:ascii="Calibri" w:hAnsi="Calibri" w:eastAsia="宋体" w:cs="Times New Roman"/>
          <w:szCs w:val="21"/>
        </w:rPr>
      </w:pPr>
    </w:p>
    <w:p>
      <w:pPr>
        <w:pStyle w:val="42"/>
        <w:bidi w:val="0"/>
        <w:spacing w:line="360" w:lineRule="exact"/>
        <w:ind w:firstLine="3675" w:firstLineChars="1750"/>
        <w:rPr>
          <w:rStyle w:val="14"/>
          <w:rFonts w:ascii="Calibri" w:hAnsi="Calibri" w:eastAsia="宋体" w:cs="Times New Roman"/>
          <w:szCs w:val="21"/>
        </w:rPr>
      </w:pPr>
    </w:p>
    <w:p>
      <w:pPr>
        <w:pStyle w:val="42"/>
        <w:bidi w:val="0"/>
        <w:spacing w:line="360" w:lineRule="exact"/>
        <w:ind w:firstLine="3675" w:firstLineChars="1750"/>
        <w:rPr>
          <w:rStyle w:val="14"/>
          <w:rFonts w:ascii="Calibri" w:hAnsi="宋体" w:eastAsia="宋体" w:cs="Times New Roman"/>
          <w:szCs w:val="21"/>
        </w:rPr>
      </w:pPr>
      <w:r>
        <w:rPr>
          <w:rStyle w:val="14"/>
          <w:rFonts w:hint="eastAsia" w:ascii="Calibri" w:hAnsi="宋体" w:eastAsia="宋体" w:cs="Times New Roman"/>
          <w:szCs w:val="21"/>
          <w:highlight w:val="white"/>
        </w:rPr>
        <w:t>投</w:t>
      </w:r>
      <w:r>
        <w:rPr>
          <w:rStyle w:val="14"/>
          <w:rFonts w:ascii="Calibri" w:hAnsi="Calibri" w:eastAsia="宋体" w:cs="Times New Roman"/>
          <w:szCs w:val="21"/>
          <w:highlight w:val="white"/>
        </w:rPr>
        <w:t xml:space="preserve"> </w:t>
      </w:r>
      <w:r>
        <w:rPr>
          <w:rStyle w:val="14"/>
          <w:rFonts w:hint="eastAsia" w:ascii="Calibri" w:hAnsi="宋体" w:eastAsia="宋体" w:cs="Times New Roman"/>
          <w:szCs w:val="21"/>
          <w:highlight w:val="white"/>
        </w:rPr>
        <w:t>标</w:t>
      </w:r>
      <w:r>
        <w:rPr>
          <w:rStyle w:val="14"/>
          <w:rFonts w:ascii="Calibri" w:hAnsi="Calibri" w:eastAsia="宋体" w:cs="Times New Roman"/>
          <w:szCs w:val="21"/>
          <w:highlight w:val="white"/>
        </w:rPr>
        <w:t xml:space="preserve"> </w:t>
      </w:r>
      <w:r>
        <w:rPr>
          <w:rStyle w:val="14"/>
          <w:rFonts w:hint="eastAsia" w:ascii="Calibri" w:hAnsi="宋体" w:eastAsia="宋体" w:cs="Times New Roman"/>
          <w:szCs w:val="21"/>
          <w:highlight w:val="white"/>
        </w:rPr>
        <w:t>人：</w:t>
      </w: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w:t>
      </w:r>
      <w:r>
        <w:rPr>
          <w:rStyle w:val="14"/>
          <w:rFonts w:hint="eastAsia" w:hAnsi="宋体" w:cs="Times New Roman"/>
          <w:szCs w:val="21"/>
          <w:highlight w:val="white"/>
          <w:lang w:val="en-US" w:eastAsia="zh-CN"/>
        </w:rPr>
        <w:t>单位公章</w:t>
      </w:r>
      <w:r>
        <w:rPr>
          <w:rStyle w:val="14"/>
          <w:rFonts w:hint="eastAsia" w:ascii="Calibri" w:hAnsi="宋体" w:eastAsia="宋体" w:cs="Times New Roman"/>
          <w:szCs w:val="21"/>
          <w:highlight w:val="white"/>
        </w:rPr>
        <w:t>）</w:t>
      </w:r>
    </w:p>
    <w:p>
      <w:pPr>
        <w:pStyle w:val="42"/>
        <w:bidi w:val="0"/>
        <w:spacing w:line="360" w:lineRule="exact"/>
        <w:ind w:firstLine="3675" w:firstLineChars="1750"/>
        <w:rPr>
          <w:rStyle w:val="14"/>
          <w:rFonts w:ascii="Calibri" w:hAnsi="Calibri" w:eastAsia="宋体" w:cs="Times New Roman"/>
          <w:szCs w:val="21"/>
        </w:rPr>
      </w:pPr>
      <w:r>
        <w:rPr>
          <w:rStyle w:val="14"/>
          <w:rFonts w:hint="eastAsia" w:ascii="Calibri" w:hAnsi="宋体" w:eastAsia="宋体" w:cs="Times New Roman"/>
          <w:szCs w:val="21"/>
          <w:highlight w:val="white"/>
        </w:rPr>
        <w:t>法定代表人：</w:t>
      </w:r>
      <w:r>
        <w:rPr>
          <w:rStyle w:val="14"/>
          <w:rFonts w:ascii="Calibri" w:hAnsi="宋体" w:eastAsia="宋体" w:cs="Times New Roman"/>
          <w:szCs w:val="21"/>
          <w:highlight w:val="white"/>
          <w:u w:val="single"/>
        </w:rPr>
        <w:t xml:space="preserve">                    </w:t>
      </w:r>
      <w:r>
        <w:rPr>
          <w:rStyle w:val="14"/>
          <w:rFonts w:hint="eastAsia" w:ascii="Calibri" w:hAnsi="宋体" w:eastAsia="宋体" w:cs="Times New Roman"/>
          <w:szCs w:val="21"/>
          <w:highlight w:val="white"/>
        </w:rPr>
        <w:t>（</w:t>
      </w:r>
      <w:r>
        <w:rPr>
          <w:rStyle w:val="14"/>
          <w:rFonts w:hint="eastAsia" w:hAnsi="宋体" w:cs="Times New Roman"/>
          <w:szCs w:val="21"/>
          <w:highlight w:val="white"/>
          <w:lang w:val="en-US" w:eastAsia="zh-CN"/>
        </w:rPr>
        <w:t>签字或</w:t>
      </w:r>
      <w:r>
        <w:rPr>
          <w:rStyle w:val="14"/>
          <w:rFonts w:hint="eastAsia" w:ascii="Calibri" w:hAnsi="宋体" w:eastAsia="宋体" w:cs="Times New Roman"/>
          <w:szCs w:val="21"/>
          <w:highlight w:val="white"/>
        </w:rPr>
        <w:t>签章）</w:t>
      </w:r>
    </w:p>
    <w:p>
      <w:pPr>
        <w:pStyle w:val="42"/>
        <w:bidi w:val="0"/>
        <w:spacing w:line="360" w:lineRule="exact"/>
        <w:ind w:firstLine="3675" w:firstLineChars="1750"/>
        <w:rPr>
          <w:rStyle w:val="14"/>
          <w:rFonts w:ascii="Calibri" w:hAnsi="Calibri" w:eastAsia="宋体" w:cs="Times New Roman"/>
          <w:szCs w:val="21"/>
        </w:rPr>
      </w:pPr>
      <w:r>
        <w:rPr>
          <w:rStyle w:val="14"/>
          <w:rFonts w:hint="eastAsia" w:ascii="Calibri" w:hAnsi="宋体" w:eastAsia="宋体" w:cs="Times New Roman"/>
          <w:szCs w:val="21"/>
          <w:highlight w:val="white"/>
        </w:rPr>
        <w:t>地址：</w:t>
      </w:r>
      <w:r>
        <w:rPr>
          <w:rStyle w:val="14"/>
          <w:rFonts w:ascii="Calibri" w:hAnsi="Calibri" w:eastAsia="宋体" w:cs="Times New Roman"/>
          <w:szCs w:val="21"/>
          <w:highlight w:val="white"/>
          <w:u w:val="single"/>
        </w:rPr>
        <w:t xml:space="preserve">                                     </w:t>
      </w:r>
    </w:p>
    <w:p>
      <w:pPr>
        <w:pStyle w:val="42"/>
        <w:bidi w:val="0"/>
        <w:spacing w:line="360" w:lineRule="exact"/>
        <w:ind w:firstLine="3675" w:firstLineChars="1750"/>
        <w:rPr>
          <w:rStyle w:val="14"/>
          <w:rFonts w:ascii="Calibri" w:hAnsi="Calibri" w:eastAsia="宋体" w:cs="Times New Roman"/>
          <w:szCs w:val="21"/>
        </w:rPr>
      </w:pPr>
      <w:r>
        <w:rPr>
          <w:rStyle w:val="14"/>
          <w:rFonts w:hint="eastAsia" w:ascii="Calibri" w:hAnsi="宋体" w:eastAsia="宋体" w:cs="Times New Roman"/>
          <w:szCs w:val="21"/>
          <w:highlight w:val="white"/>
        </w:rPr>
        <w:t>网址：</w:t>
      </w:r>
      <w:r>
        <w:rPr>
          <w:rStyle w:val="14"/>
          <w:rFonts w:ascii="Calibri" w:hAnsi="Calibri" w:eastAsia="宋体" w:cs="Times New Roman"/>
          <w:szCs w:val="21"/>
          <w:highlight w:val="white"/>
          <w:u w:val="single"/>
        </w:rPr>
        <w:t xml:space="preserve">                                     </w:t>
      </w:r>
    </w:p>
    <w:p>
      <w:pPr>
        <w:pStyle w:val="42"/>
        <w:bidi w:val="0"/>
        <w:spacing w:line="360" w:lineRule="exact"/>
        <w:ind w:firstLine="3675" w:firstLineChars="1750"/>
        <w:rPr>
          <w:rStyle w:val="14"/>
          <w:rFonts w:ascii="Calibri" w:hAnsi="Calibri" w:eastAsia="宋体" w:cs="Times New Roman"/>
          <w:szCs w:val="21"/>
        </w:rPr>
      </w:pPr>
      <w:r>
        <w:rPr>
          <w:rStyle w:val="14"/>
          <w:rFonts w:hint="eastAsia" w:ascii="Calibri" w:hAnsi="宋体" w:eastAsia="宋体" w:cs="Times New Roman"/>
          <w:szCs w:val="21"/>
          <w:highlight w:val="white"/>
        </w:rPr>
        <w:t>电话：</w:t>
      </w:r>
      <w:r>
        <w:rPr>
          <w:rStyle w:val="14"/>
          <w:rFonts w:ascii="Calibri" w:hAnsi="Calibri" w:eastAsia="宋体" w:cs="Times New Roman"/>
          <w:szCs w:val="21"/>
          <w:highlight w:val="white"/>
          <w:u w:val="single"/>
        </w:rPr>
        <w:t xml:space="preserve">                                     </w:t>
      </w:r>
    </w:p>
    <w:p>
      <w:pPr>
        <w:pStyle w:val="42"/>
        <w:bidi w:val="0"/>
        <w:spacing w:line="360" w:lineRule="exact"/>
        <w:ind w:firstLine="3675" w:firstLineChars="1750"/>
        <w:rPr>
          <w:rStyle w:val="14"/>
          <w:rFonts w:ascii="Calibri" w:hAnsi="Calibri" w:eastAsia="宋体" w:cs="Times New Roman"/>
          <w:szCs w:val="21"/>
        </w:rPr>
      </w:pPr>
      <w:r>
        <w:rPr>
          <w:rStyle w:val="14"/>
          <w:rFonts w:hint="eastAsia" w:ascii="Calibri" w:hAnsi="宋体" w:eastAsia="宋体" w:cs="Times New Roman"/>
          <w:szCs w:val="21"/>
          <w:highlight w:val="white"/>
        </w:rPr>
        <w:t>传真：</w:t>
      </w:r>
      <w:r>
        <w:rPr>
          <w:rStyle w:val="14"/>
          <w:rFonts w:ascii="Calibri" w:hAnsi="Calibri" w:eastAsia="宋体" w:cs="Times New Roman"/>
          <w:szCs w:val="21"/>
          <w:highlight w:val="white"/>
          <w:u w:val="single"/>
        </w:rPr>
        <w:t xml:space="preserve">                                     </w:t>
      </w:r>
    </w:p>
    <w:p>
      <w:pPr>
        <w:pStyle w:val="42"/>
        <w:bidi w:val="0"/>
        <w:spacing w:line="360" w:lineRule="exact"/>
        <w:ind w:firstLine="3675" w:firstLineChars="1750"/>
        <w:rPr>
          <w:rStyle w:val="14"/>
          <w:rFonts w:hint="eastAsia" w:ascii="Calibri" w:hAnsi="Calibri" w:eastAsia="宋体" w:cs="Times New Roman"/>
          <w:szCs w:val="21"/>
          <w:u w:val="single"/>
        </w:rPr>
      </w:pPr>
      <w:r>
        <w:rPr>
          <w:rStyle w:val="14"/>
          <w:rFonts w:hint="eastAsia" w:ascii="Calibri" w:hAnsi="宋体" w:eastAsia="宋体" w:cs="Times New Roman"/>
          <w:szCs w:val="21"/>
          <w:highlight w:val="white"/>
        </w:rPr>
        <w:t>邮政编码：</w:t>
      </w:r>
      <w:r>
        <w:rPr>
          <w:rStyle w:val="14"/>
          <w:rFonts w:ascii="Calibri" w:hAnsi="Calibri" w:eastAsia="宋体" w:cs="Times New Roman"/>
          <w:szCs w:val="21"/>
          <w:highlight w:val="white"/>
          <w:u w:val="single"/>
        </w:rPr>
        <w:t xml:space="preserve">                                 </w:t>
      </w:r>
    </w:p>
    <w:p>
      <w:pPr>
        <w:pStyle w:val="42"/>
        <w:bidi w:val="0"/>
        <w:spacing w:line="360" w:lineRule="exact"/>
        <w:ind w:firstLine="3675" w:firstLineChars="1750"/>
        <w:rPr>
          <w:rStyle w:val="14"/>
          <w:rFonts w:hint="eastAsia" w:ascii="Calibri" w:hAnsi="Calibri" w:eastAsia="宋体" w:cs="Times New Roman"/>
          <w:szCs w:val="21"/>
          <w:u w:val="single"/>
        </w:rPr>
      </w:pPr>
    </w:p>
    <w:p>
      <w:pPr>
        <w:pStyle w:val="43"/>
        <w:bidi w:val="0"/>
        <w:ind w:left="4620" w:firstLine="420"/>
        <w:rPr>
          <w:rStyle w:val="14"/>
          <w:rFonts w:ascii="Calibri" w:hAnsi="Calibri" w:eastAsia="宋体" w:cs="Times New Roman"/>
        </w:rPr>
      </w:pP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年</w:t>
      </w: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月</w:t>
      </w: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日</w:t>
      </w:r>
    </w:p>
    <w:p>
      <w:pPr>
        <w:pStyle w:val="44"/>
        <w:bidi w:val="0"/>
        <w:jc w:val="left"/>
        <w:outlineLvl w:val="1"/>
        <w:rPr>
          <w:rStyle w:val="14"/>
        </w:rPr>
      </w:pPr>
      <w:r>
        <w:rPr>
          <w:rStyle w:val="14"/>
          <w:highlight w:val="white"/>
        </w:rPr>
        <w:br w:type="page"/>
      </w:r>
      <w:bookmarkStart w:id="645" w:name="_Toc4227"/>
      <w:r>
        <w:rPr>
          <w:rStyle w:val="14"/>
          <w:highlight w:val="white"/>
        </w:rPr>
        <w:t>二、法定代表人身份证明</w:t>
      </w:r>
      <w:bookmarkEnd w:id="645"/>
    </w:p>
    <w:p>
      <w:pPr>
        <w:pStyle w:val="45"/>
        <w:bidi w:val="0"/>
        <w:rPr>
          <w:rStyle w:val="14"/>
          <w:rFonts w:hint="eastAsia" w:ascii="Calibri" w:hAnsi="Calibri" w:eastAsia="宋体" w:cs="Times New Roman"/>
        </w:rPr>
      </w:pPr>
    </w:p>
    <w:p>
      <w:pPr>
        <w:pStyle w:val="46"/>
        <w:bidi w:val="0"/>
        <w:spacing w:line="360" w:lineRule="auto"/>
        <w:rPr>
          <w:rStyle w:val="14"/>
          <w:rFonts w:eastAsia="宋体" w:cs="Times New Roman"/>
          <w:szCs w:val="21"/>
        </w:rPr>
      </w:pPr>
      <w:r>
        <w:rPr>
          <w:rStyle w:val="14"/>
          <w:rFonts w:hint="eastAsia" w:hAnsi="宋体" w:eastAsia="宋体" w:cs="Times New Roman"/>
          <w:szCs w:val="21"/>
          <w:highlight w:val="white"/>
        </w:rPr>
        <w:t>投标人名称：</w:t>
      </w:r>
      <w:r>
        <w:rPr>
          <w:rStyle w:val="14"/>
          <w:rFonts w:eastAsia="宋体" w:cs="Times New Roman"/>
          <w:szCs w:val="21"/>
          <w:highlight w:val="white"/>
          <w:u w:val="single"/>
        </w:rPr>
        <w:t xml:space="preserve">                            </w:t>
      </w:r>
      <w:r>
        <w:rPr>
          <w:rStyle w:val="14"/>
          <w:rFonts w:eastAsia="宋体" w:cs="Times New Roman"/>
          <w:szCs w:val="21"/>
          <w:highlight w:val="white"/>
        </w:rPr>
        <w:t xml:space="preserve"> </w:t>
      </w:r>
    </w:p>
    <w:p>
      <w:pPr>
        <w:pStyle w:val="46"/>
        <w:bidi w:val="0"/>
        <w:spacing w:line="360" w:lineRule="auto"/>
        <w:rPr>
          <w:rStyle w:val="14"/>
          <w:rFonts w:eastAsia="宋体" w:cs="Times New Roman"/>
          <w:szCs w:val="21"/>
        </w:rPr>
      </w:pPr>
      <w:r>
        <w:rPr>
          <w:rStyle w:val="14"/>
          <w:rFonts w:hint="eastAsia" w:hAnsi="宋体" w:eastAsia="宋体" w:cs="Times New Roman"/>
          <w:szCs w:val="21"/>
          <w:highlight w:val="white"/>
        </w:rPr>
        <w:t>单位性质：</w:t>
      </w:r>
      <w:r>
        <w:rPr>
          <w:rStyle w:val="14"/>
          <w:rFonts w:eastAsia="宋体" w:cs="Times New Roman"/>
          <w:szCs w:val="21"/>
          <w:highlight w:val="white"/>
          <w:u w:val="single"/>
        </w:rPr>
        <w:t xml:space="preserve">                               </w:t>
      </w:r>
      <w:r>
        <w:rPr>
          <w:rStyle w:val="14"/>
          <w:rFonts w:eastAsia="宋体" w:cs="Times New Roman"/>
          <w:szCs w:val="21"/>
          <w:highlight w:val="white"/>
        </w:rPr>
        <w:t xml:space="preserve"> </w:t>
      </w:r>
    </w:p>
    <w:p>
      <w:pPr>
        <w:pStyle w:val="46"/>
        <w:bidi w:val="0"/>
        <w:spacing w:line="360" w:lineRule="auto"/>
        <w:rPr>
          <w:rStyle w:val="14"/>
          <w:rFonts w:eastAsia="宋体" w:cs="Times New Roman"/>
          <w:szCs w:val="21"/>
        </w:rPr>
      </w:pPr>
      <w:r>
        <w:rPr>
          <w:rStyle w:val="14"/>
          <w:rFonts w:hint="eastAsia" w:hAnsi="宋体" w:eastAsia="宋体" w:cs="Times New Roman"/>
          <w:szCs w:val="21"/>
          <w:highlight w:val="white"/>
        </w:rPr>
        <w:t>地址：</w:t>
      </w:r>
      <w:r>
        <w:rPr>
          <w:rStyle w:val="14"/>
          <w:rFonts w:eastAsia="宋体" w:cs="Times New Roman"/>
          <w:szCs w:val="21"/>
          <w:highlight w:val="white"/>
          <w:u w:val="single"/>
        </w:rPr>
        <w:t xml:space="preserve">                                   </w:t>
      </w:r>
    </w:p>
    <w:p>
      <w:pPr>
        <w:pStyle w:val="46"/>
        <w:bidi w:val="0"/>
        <w:spacing w:line="360" w:lineRule="auto"/>
        <w:rPr>
          <w:rStyle w:val="14"/>
          <w:rFonts w:eastAsia="宋体" w:cs="Times New Roman"/>
          <w:szCs w:val="21"/>
        </w:rPr>
      </w:pPr>
      <w:r>
        <w:rPr>
          <w:rStyle w:val="14"/>
          <w:rFonts w:hint="eastAsia" w:hAnsi="宋体" w:eastAsia="宋体" w:cs="Times New Roman"/>
          <w:szCs w:val="21"/>
          <w:highlight w:val="white"/>
        </w:rPr>
        <w:t>成立时间：</w:t>
      </w:r>
      <w:r>
        <w:rPr>
          <w:rStyle w:val="14"/>
          <w:rFonts w:eastAsia="宋体" w:cs="Times New Roman"/>
          <w:szCs w:val="21"/>
          <w:highlight w:val="white"/>
          <w:u w:val="single"/>
        </w:rPr>
        <w:t xml:space="preserve">         </w:t>
      </w:r>
      <w:r>
        <w:rPr>
          <w:rStyle w:val="14"/>
          <w:rFonts w:eastAsia="宋体" w:cs="Times New Roman"/>
          <w:szCs w:val="21"/>
          <w:highlight w:val="white"/>
        </w:rPr>
        <w:t xml:space="preserve"> </w:t>
      </w:r>
      <w:r>
        <w:rPr>
          <w:rStyle w:val="14"/>
          <w:rFonts w:hint="eastAsia" w:hAnsi="宋体" w:eastAsia="宋体" w:cs="Times New Roman"/>
          <w:szCs w:val="21"/>
          <w:highlight w:val="white"/>
        </w:rPr>
        <w:t>年</w:t>
      </w:r>
      <w:r>
        <w:rPr>
          <w:rStyle w:val="14"/>
          <w:rFonts w:eastAsia="宋体" w:cs="Times New Roman"/>
          <w:szCs w:val="21"/>
          <w:highlight w:val="white"/>
          <w:u w:val="single"/>
        </w:rPr>
        <w:t xml:space="preserve">       </w:t>
      </w:r>
      <w:r>
        <w:rPr>
          <w:rStyle w:val="14"/>
          <w:rFonts w:eastAsia="宋体" w:cs="Times New Roman"/>
          <w:szCs w:val="21"/>
          <w:highlight w:val="white"/>
        </w:rPr>
        <w:t xml:space="preserve"> </w:t>
      </w:r>
      <w:r>
        <w:rPr>
          <w:rStyle w:val="14"/>
          <w:rFonts w:hint="eastAsia" w:hAnsi="宋体" w:eastAsia="宋体" w:cs="Times New Roman"/>
          <w:szCs w:val="21"/>
          <w:highlight w:val="white"/>
        </w:rPr>
        <w:t>月</w:t>
      </w:r>
      <w:r>
        <w:rPr>
          <w:rStyle w:val="14"/>
          <w:rFonts w:eastAsia="宋体" w:cs="Times New Roman"/>
          <w:szCs w:val="21"/>
          <w:highlight w:val="white"/>
          <w:u w:val="single"/>
        </w:rPr>
        <w:t xml:space="preserve">       </w:t>
      </w:r>
      <w:r>
        <w:rPr>
          <w:rStyle w:val="14"/>
          <w:rFonts w:eastAsia="宋体" w:cs="Times New Roman"/>
          <w:szCs w:val="21"/>
          <w:highlight w:val="white"/>
        </w:rPr>
        <w:t xml:space="preserve"> </w:t>
      </w:r>
      <w:r>
        <w:rPr>
          <w:rStyle w:val="14"/>
          <w:rFonts w:hint="eastAsia" w:hAnsi="宋体" w:eastAsia="宋体" w:cs="Times New Roman"/>
          <w:szCs w:val="21"/>
          <w:highlight w:val="white"/>
        </w:rPr>
        <w:t>日</w:t>
      </w:r>
    </w:p>
    <w:p>
      <w:pPr>
        <w:pStyle w:val="46"/>
        <w:bidi w:val="0"/>
        <w:spacing w:line="360" w:lineRule="auto"/>
        <w:rPr>
          <w:rStyle w:val="14"/>
          <w:rFonts w:eastAsia="宋体" w:cs="Times New Roman"/>
          <w:szCs w:val="21"/>
        </w:rPr>
      </w:pPr>
      <w:r>
        <w:rPr>
          <w:rStyle w:val="14"/>
          <w:rFonts w:hint="eastAsia" w:hAnsi="宋体" w:eastAsia="宋体" w:cs="Times New Roman"/>
          <w:szCs w:val="21"/>
          <w:highlight w:val="white"/>
        </w:rPr>
        <w:t>经营期限：</w:t>
      </w:r>
      <w:r>
        <w:rPr>
          <w:rStyle w:val="14"/>
          <w:rFonts w:eastAsia="宋体" w:cs="Times New Roman"/>
          <w:szCs w:val="21"/>
          <w:highlight w:val="white"/>
          <w:u w:val="single"/>
        </w:rPr>
        <w:t xml:space="preserve">                               </w:t>
      </w:r>
    </w:p>
    <w:p>
      <w:pPr>
        <w:pStyle w:val="46"/>
        <w:bidi w:val="0"/>
        <w:spacing w:line="360" w:lineRule="auto"/>
        <w:rPr>
          <w:rStyle w:val="14"/>
          <w:rFonts w:eastAsia="宋体" w:cs="Times New Roman"/>
          <w:szCs w:val="21"/>
        </w:rPr>
      </w:pPr>
      <w:r>
        <w:rPr>
          <w:rStyle w:val="14"/>
          <w:rFonts w:hint="eastAsia" w:hAnsi="宋体" w:eastAsia="宋体" w:cs="Times New Roman"/>
          <w:szCs w:val="21"/>
          <w:highlight w:val="white"/>
        </w:rPr>
        <w:t>姓名：</w:t>
      </w:r>
      <w:r>
        <w:rPr>
          <w:rStyle w:val="14"/>
          <w:rFonts w:eastAsia="宋体" w:cs="Times New Roman"/>
          <w:szCs w:val="21"/>
          <w:highlight w:val="white"/>
          <w:u w:val="single"/>
        </w:rPr>
        <w:t xml:space="preserve">        </w:t>
      </w:r>
      <w:r>
        <w:rPr>
          <w:rStyle w:val="14"/>
          <w:rFonts w:eastAsia="宋体" w:cs="Times New Roman"/>
          <w:szCs w:val="21"/>
          <w:highlight w:val="white"/>
        </w:rPr>
        <w:t xml:space="preserve"> </w:t>
      </w:r>
      <w:r>
        <w:rPr>
          <w:rStyle w:val="14"/>
          <w:rFonts w:hint="eastAsia" w:hAnsi="宋体" w:eastAsia="宋体" w:cs="Times New Roman"/>
          <w:szCs w:val="21"/>
          <w:highlight w:val="white"/>
        </w:rPr>
        <w:t>性别：</w:t>
      </w:r>
      <w:r>
        <w:rPr>
          <w:rStyle w:val="14"/>
          <w:rFonts w:eastAsia="宋体" w:cs="Times New Roman"/>
          <w:szCs w:val="21"/>
          <w:highlight w:val="white"/>
          <w:u w:val="single"/>
        </w:rPr>
        <w:t xml:space="preserve">         </w:t>
      </w:r>
      <w:r>
        <w:rPr>
          <w:rStyle w:val="14"/>
          <w:rFonts w:eastAsia="宋体" w:cs="Times New Roman"/>
          <w:szCs w:val="21"/>
          <w:highlight w:val="white"/>
        </w:rPr>
        <w:t xml:space="preserve"> </w:t>
      </w:r>
      <w:r>
        <w:rPr>
          <w:rStyle w:val="14"/>
          <w:rFonts w:hint="eastAsia" w:hAnsi="宋体" w:eastAsia="宋体" w:cs="Times New Roman"/>
          <w:szCs w:val="21"/>
          <w:highlight w:val="white"/>
        </w:rPr>
        <w:t>年龄：</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职务：</w:t>
      </w:r>
      <w:r>
        <w:rPr>
          <w:rStyle w:val="14"/>
          <w:rFonts w:eastAsia="宋体" w:cs="Times New Roman"/>
          <w:szCs w:val="21"/>
          <w:highlight w:val="white"/>
          <w:u w:val="single"/>
        </w:rPr>
        <w:t xml:space="preserve">        </w:t>
      </w:r>
    </w:p>
    <w:p>
      <w:pPr>
        <w:pStyle w:val="46"/>
        <w:bidi w:val="0"/>
        <w:spacing w:line="360" w:lineRule="auto"/>
        <w:rPr>
          <w:rStyle w:val="14"/>
          <w:rFonts w:eastAsia="宋体" w:cs="Times New Roman"/>
          <w:szCs w:val="21"/>
        </w:rPr>
      </w:pPr>
      <w:r>
        <w:rPr>
          <w:rStyle w:val="14"/>
          <w:rFonts w:hint="eastAsia" w:hAnsi="宋体" w:eastAsia="宋体" w:cs="Times New Roman"/>
          <w:szCs w:val="21"/>
          <w:highlight w:val="white"/>
        </w:rPr>
        <w:t>系</w:t>
      </w:r>
      <w:r>
        <w:rPr>
          <w:rStyle w:val="14"/>
          <w:rFonts w:eastAsia="宋体" w:cs="Times New Roman"/>
          <w:szCs w:val="21"/>
          <w:highlight w:val="white"/>
          <w:u w:val="single"/>
        </w:rPr>
        <w:t xml:space="preserve">                             </w:t>
      </w:r>
      <w:r>
        <w:rPr>
          <w:rStyle w:val="14"/>
          <w:rFonts w:eastAsia="宋体" w:cs="Times New Roman"/>
          <w:szCs w:val="21"/>
          <w:highlight w:val="white"/>
        </w:rPr>
        <w:t xml:space="preserve"> </w:t>
      </w:r>
      <w:r>
        <w:rPr>
          <w:rStyle w:val="14"/>
          <w:rFonts w:hint="eastAsia" w:hAnsi="宋体" w:eastAsia="宋体" w:cs="Times New Roman"/>
          <w:szCs w:val="21"/>
          <w:highlight w:val="white"/>
        </w:rPr>
        <w:t>的法定代表人。</w:t>
      </w:r>
    </w:p>
    <w:p>
      <w:pPr>
        <w:pStyle w:val="46"/>
        <w:bidi w:val="0"/>
        <w:spacing w:line="360" w:lineRule="auto"/>
        <w:ind w:firstLine="420" w:firstLineChars="200"/>
        <w:rPr>
          <w:rStyle w:val="14"/>
          <w:rFonts w:eastAsia="宋体" w:cs="Times New Roman"/>
          <w:szCs w:val="21"/>
        </w:rPr>
      </w:pPr>
      <w:r>
        <w:rPr>
          <w:rStyle w:val="14"/>
          <w:rFonts w:hint="eastAsia" w:hAnsi="宋体" w:eastAsia="宋体" w:cs="Times New Roman"/>
          <w:szCs w:val="21"/>
          <w:highlight w:val="white"/>
        </w:rPr>
        <w:t>特此证明。</w:t>
      </w:r>
    </w:p>
    <w:p>
      <w:pPr>
        <w:pStyle w:val="46"/>
        <w:bidi w:val="0"/>
        <w:rPr>
          <w:rStyle w:val="14"/>
          <w:rFonts w:eastAsia="宋体" w:cs="Times New Roman"/>
        </w:rPr>
      </w:pPr>
    </w:p>
    <w:p>
      <w:pPr>
        <w:pStyle w:val="46"/>
        <w:bidi w:val="0"/>
        <w:rPr>
          <w:rStyle w:val="14"/>
          <w:rFonts w:eastAsia="宋体" w:cs="Times New Roman"/>
        </w:rPr>
      </w:pPr>
    </w:p>
    <w:p>
      <w:pPr>
        <w:pStyle w:val="46"/>
        <w:bidi w:val="0"/>
        <w:rPr>
          <w:rStyle w:val="14"/>
          <w:rFonts w:hint="eastAsia" w:eastAsia="宋体" w:cs="Times New Roman"/>
        </w:rPr>
      </w:pPr>
      <w:r>
        <w:rPr>
          <w:rStyle w:val="14"/>
          <w:rFonts w:hint="eastAsia" w:eastAsia="宋体" w:cs="Times New Roman"/>
          <w:highlight w:val="white"/>
        </w:rPr>
        <w:t xml:space="preserve">                                   投标人：</w:t>
      </w:r>
      <w:r>
        <w:rPr>
          <w:rStyle w:val="14"/>
          <w:rFonts w:eastAsia="宋体" w:cs="Times New Roman"/>
          <w:szCs w:val="21"/>
          <w:highlight w:val="white"/>
          <w:u w:val="single"/>
        </w:rPr>
        <w:t xml:space="preserve">                </w:t>
      </w:r>
      <w:r>
        <w:rPr>
          <w:rStyle w:val="14"/>
          <w:rFonts w:hint="eastAsia" w:eastAsia="宋体" w:cs="Times New Roman"/>
          <w:highlight w:val="white"/>
        </w:rPr>
        <w:t>（</w:t>
      </w:r>
      <w:r>
        <w:rPr>
          <w:rStyle w:val="14"/>
          <w:rFonts w:hint="eastAsia" w:cs="Times New Roman"/>
          <w:highlight w:val="white"/>
          <w:lang w:val="en-US" w:eastAsia="zh-CN"/>
        </w:rPr>
        <w:t>单位公章</w:t>
      </w:r>
      <w:r>
        <w:rPr>
          <w:rStyle w:val="14"/>
          <w:rFonts w:hint="eastAsia" w:eastAsia="宋体" w:cs="Times New Roman"/>
          <w:highlight w:val="white"/>
        </w:rPr>
        <w:t>）</w:t>
      </w:r>
    </w:p>
    <w:p>
      <w:pPr>
        <w:pStyle w:val="46"/>
        <w:bidi w:val="0"/>
        <w:rPr>
          <w:rStyle w:val="14"/>
          <w:rFonts w:hint="eastAsia" w:eastAsia="宋体" w:cs="Times New Roman"/>
        </w:rPr>
      </w:pPr>
    </w:p>
    <w:p>
      <w:pPr>
        <w:pStyle w:val="46"/>
        <w:bidi w:val="0"/>
        <w:ind w:firstLine="3990" w:firstLineChars="1900"/>
        <w:rPr>
          <w:rStyle w:val="14"/>
          <w:rFonts w:eastAsia="宋体" w:cs="Times New Roman"/>
        </w:rPr>
      </w:pPr>
      <w:r>
        <w:rPr>
          <w:rStyle w:val="14"/>
          <w:rFonts w:eastAsia="宋体" w:cs="Times New Roman"/>
          <w:szCs w:val="21"/>
          <w:highlight w:val="white"/>
          <w:u w:val="single"/>
        </w:rPr>
        <w:t xml:space="preserve">         </w:t>
      </w:r>
      <w:r>
        <w:rPr>
          <w:rStyle w:val="14"/>
          <w:rFonts w:hint="eastAsia" w:eastAsia="宋体" w:cs="Times New Roman"/>
          <w:highlight w:val="white"/>
        </w:rPr>
        <w:t>年</w:t>
      </w:r>
      <w:r>
        <w:rPr>
          <w:rStyle w:val="14"/>
          <w:rFonts w:eastAsia="宋体" w:cs="Times New Roman"/>
          <w:highlight w:val="white"/>
        </w:rPr>
        <w:t xml:space="preserve"> </w:t>
      </w:r>
      <w:r>
        <w:rPr>
          <w:rStyle w:val="14"/>
          <w:rFonts w:eastAsia="宋体" w:cs="Times New Roman"/>
          <w:szCs w:val="21"/>
          <w:highlight w:val="white"/>
          <w:u w:val="single"/>
        </w:rPr>
        <w:t xml:space="preserve">         </w:t>
      </w:r>
      <w:r>
        <w:rPr>
          <w:rStyle w:val="14"/>
          <w:rFonts w:hint="eastAsia" w:eastAsia="宋体" w:cs="Times New Roman"/>
          <w:highlight w:val="white"/>
        </w:rPr>
        <w:t>月</w:t>
      </w:r>
      <w:r>
        <w:rPr>
          <w:rStyle w:val="14"/>
          <w:rFonts w:eastAsia="宋体" w:cs="Times New Roman"/>
          <w:szCs w:val="21"/>
          <w:highlight w:val="white"/>
          <w:u w:val="single"/>
        </w:rPr>
        <w:t xml:space="preserve">         </w:t>
      </w:r>
      <w:r>
        <w:rPr>
          <w:rStyle w:val="14"/>
          <w:rFonts w:hint="eastAsia" w:eastAsia="宋体" w:cs="Times New Roman"/>
          <w:highlight w:val="white"/>
        </w:rPr>
        <w:t>日</w:t>
      </w:r>
    </w:p>
    <w:p>
      <w:pPr>
        <w:pStyle w:val="47"/>
        <w:bidi w:val="0"/>
        <w:jc w:val="left"/>
        <w:outlineLvl w:val="1"/>
        <w:rPr>
          <w:rStyle w:val="14"/>
        </w:rPr>
      </w:pPr>
      <w:r>
        <w:rPr>
          <w:rStyle w:val="14"/>
          <w:highlight w:val="white"/>
        </w:rPr>
        <w:br w:type="page"/>
      </w:r>
      <w:bookmarkStart w:id="646" w:name="_Toc17339"/>
      <w:r>
        <w:rPr>
          <w:rStyle w:val="14"/>
          <w:highlight w:val="white"/>
        </w:rPr>
        <w:t>三、授权委托书</w:t>
      </w:r>
      <w:bookmarkEnd w:id="646"/>
    </w:p>
    <w:p>
      <w:pPr>
        <w:pStyle w:val="48"/>
        <w:bidi w:val="0"/>
        <w:rPr>
          <w:rStyle w:val="14"/>
          <w:rFonts w:hint="eastAsia" w:ascii="Calibri" w:hAnsi="Calibri" w:eastAsia="宋体" w:cs="Times New Roman"/>
        </w:rPr>
      </w:pPr>
    </w:p>
    <w:p>
      <w:pPr>
        <w:pStyle w:val="49"/>
        <w:topLinePunct/>
        <w:bidi w:val="0"/>
        <w:spacing w:line="360" w:lineRule="auto"/>
        <w:ind w:firstLine="420" w:firstLineChars="200"/>
        <w:rPr>
          <w:rStyle w:val="14"/>
          <w:rFonts w:eastAsia="宋体" w:cs="Times New Roman"/>
          <w:szCs w:val="21"/>
        </w:rPr>
      </w:pPr>
      <w:r>
        <w:rPr>
          <w:rStyle w:val="14"/>
          <w:rFonts w:hint="eastAsia" w:hAnsi="宋体" w:eastAsia="宋体" w:cs="Times New Roman"/>
          <w:szCs w:val="21"/>
          <w:highlight w:val="white"/>
        </w:rPr>
        <w:t>本人</w:t>
      </w:r>
      <w:r>
        <w:rPr>
          <w:rStyle w:val="14"/>
          <w:rFonts w:eastAsia="宋体" w:cs="Times New Roman"/>
          <w:szCs w:val="21"/>
          <w:highlight w:val="white"/>
          <w:u w:val="single"/>
        </w:rPr>
        <w:t xml:space="preserve">  </w:t>
      </w:r>
      <w:r>
        <w:rPr>
          <w:rStyle w:val="14"/>
          <w:rFonts w:hint="eastAsia" w:hAnsi="宋体" w:eastAsia="宋体" w:cs="Times New Roman"/>
          <w:szCs w:val="21"/>
          <w:highlight w:val="white"/>
          <w:u w:val="single"/>
        </w:rPr>
        <w:t>（姓名）</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系</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的法定代表人，现委托</w:t>
      </w:r>
      <w:r>
        <w:rPr>
          <w:rStyle w:val="14"/>
          <w:rFonts w:eastAsia="宋体" w:cs="Times New Roman"/>
          <w:szCs w:val="21"/>
          <w:highlight w:val="white"/>
          <w:u w:val="single"/>
        </w:rPr>
        <w:t xml:space="preserve">      </w:t>
      </w:r>
      <w:r>
        <w:rPr>
          <w:rStyle w:val="14"/>
          <w:rFonts w:hint="eastAsia" w:hAnsi="宋体" w:eastAsia="宋体" w:cs="Times New Roman"/>
          <w:szCs w:val="21"/>
          <w:highlight w:val="white"/>
          <w:u w:val="single"/>
        </w:rPr>
        <w:t>（姓名）</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为我方代理人。代理人根据授权，以我方名义签署、澄清、说明、补正、提交、撤回、修改</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标段施工投标文件、签订合同和处理有关事宜，其法律后果由我方承担。</w:t>
      </w:r>
    </w:p>
    <w:p>
      <w:pPr>
        <w:pStyle w:val="49"/>
        <w:bidi w:val="0"/>
        <w:spacing w:line="360" w:lineRule="auto"/>
        <w:rPr>
          <w:rStyle w:val="14"/>
          <w:rFonts w:eastAsia="宋体" w:cs="Times New Roman"/>
          <w:szCs w:val="21"/>
        </w:rPr>
      </w:pPr>
      <w:r>
        <w:rPr>
          <w:rStyle w:val="14"/>
          <w:rFonts w:eastAsia="宋体" w:cs="Times New Roman"/>
          <w:szCs w:val="21"/>
          <w:highlight w:val="white"/>
        </w:rPr>
        <w:t xml:space="preserve">    </w:t>
      </w:r>
      <w:r>
        <w:rPr>
          <w:rStyle w:val="14"/>
          <w:rFonts w:hint="eastAsia" w:hAnsi="宋体" w:eastAsia="宋体" w:cs="Times New Roman"/>
          <w:szCs w:val="21"/>
          <w:highlight w:val="white"/>
        </w:rPr>
        <w:t>委托期限：</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w:t>
      </w:r>
    </w:p>
    <w:p>
      <w:pPr>
        <w:pStyle w:val="49"/>
        <w:bidi w:val="0"/>
        <w:spacing w:line="360" w:lineRule="auto"/>
        <w:ind w:firstLine="420" w:firstLineChars="200"/>
        <w:rPr>
          <w:rStyle w:val="14"/>
          <w:rFonts w:eastAsia="宋体" w:cs="Times New Roman"/>
          <w:szCs w:val="21"/>
        </w:rPr>
      </w:pPr>
      <w:r>
        <w:rPr>
          <w:rStyle w:val="14"/>
          <w:rFonts w:hint="eastAsia" w:hAnsi="宋体" w:eastAsia="宋体" w:cs="Times New Roman"/>
          <w:szCs w:val="21"/>
          <w:highlight w:val="white"/>
        </w:rPr>
        <w:t>代理人无转委托权。</w:t>
      </w:r>
    </w:p>
    <w:p>
      <w:pPr>
        <w:pStyle w:val="49"/>
        <w:bidi w:val="0"/>
        <w:spacing w:line="360" w:lineRule="exact"/>
        <w:jc w:val="right"/>
        <w:rPr>
          <w:rStyle w:val="14"/>
          <w:rFonts w:eastAsia="宋体" w:cs="Times New Roman"/>
          <w:szCs w:val="21"/>
        </w:rPr>
      </w:pPr>
    </w:p>
    <w:p>
      <w:pPr>
        <w:pStyle w:val="49"/>
        <w:bidi w:val="0"/>
        <w:spacing w:line="360" w:lineRule="auto"/>
        <w:ind w:firstLine="4410" w:firstLineChars="2100"/>
        <w:rPr>
          <w:rStyle w:val="14"/>
          <w:rFonts w:hint="eastAsia" w:eastAsia="宋体" w:cs="Times New Roman"/>
          <w:szCs w:val="21"/>
        </w:rPr>
      </w:pPr>
      <w:r>
        <w:rPr>
          <w:rStyle w:val="14"/>
          <w:rFonts w:hint="eastAsia" w:hAnsi="宋体" w:eastAsia="宋体" w:cs="Times New Roman"/>
          <w:szCs w:val="21"/>
          <w:highlight w:val="white"/>
        </w:rPr>
        <w:t>投标人：</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w:t>
      </w:r>
      <w:r>
        <w:rPr>
          <w:rStyle w:val="14"/>
          <w:rFonts w:hint="eastAsia" w:hAnsi="宋体" w:cs="Times New Roman"/>
          <w:szCs w:val="21"/>
          <w:highlight w:val="white"/>
          <w:lang w:val="en-US" w:eastAsia="zh-CN"/>
        </w:rPr>
        <w:t>单位公章</w:t>
      </w:r>
      <w:r>
        <w:rPr>
          <w:rStyle w:val="14"/>
          <w:rFonts w:hint="eastAsia" w:hAnsi="宋体" w:eastAsia="宋体" w:cs="Times New Roman"/>
          <w:szCs w:val="21"/>
          <w:highlight w:val="white"/>
        </w:rPr>
        <w:t>）</w:t>
      </w:r>
    </w:p>
    <w:p>
      <w:pPr>
        <w:pStyle w:val="49"/>
        <w:bidi w:val="0"/>
        <w:spacing w:line="360" w:lineRule="auto"/>
        <w:ind w:firstLine="4410" w:firstLineChars="2100"/>
        <w:rPr>
          <w:rStyle w:val="14"/>
          <w:rFonts w:eastAsia="宋体" w:cs="Times New Roman"/>
          <w:szCs w:val="21"/>
        </w:rPr>
      </w:pPr>
      <w:r>
        <w:rPr>
          <w:rStyle w:val="14"/>
          <w:rFonts w:hint="eastAsia" w:hAnsi="宋体" w:eastAsia="宋体" w:cs="Times New Roman"/>
          <w:szCs w:val="21"/>
          <w:highlight w:val="white"/>
        </w:rPr>
        <w:t>法定代表人：</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w:t>
      </w:r>
      <w:r>
        <w:rPr>
          <w:rStyle w:val="14"/>
          <w:rFonts w:hint="eastAsia" w:hAnsi="宋体" w:cs="Times New Roman"/>
          <w:szCs w:val="21"/>
          <w:highlight w:val="white"/>
          <w:lang w:val="en-US" w:eastAsia="zh-CN"/>
        </w:rPr>
        <w:t>签字或</w:t>
      </w:r>
      <w:r>
        <w:rPr>
          <w:rStyle w:val="14"/>
          <w:rFonts w:hint="eastAsia" w:hAnsi="宋体" w:eastAsia="宋体" w:cs="Times New Roman"/>
          <w:szCs w:val="21"/>
          <w:highlight w:val="white"/>
        </w:rPr>
        <w:t>签章）</w:t>
      </w:r>
    </w:p>
    <w:p>
      <w:pPr>
        <w:pStyle w:val="49"/>
        <w:bidi w:val="0"/>
        <w:spacing w:line="360" w:lineRule="auto"/>
        <w:ind w:right="420" w:firstLine="4410" w:firstLineChars="2100"/>
        <w:rPr>
          <w:rStyle w:val="14"/>
          <w:rFonts w:eastAsia="宋体" w:cs="Times New Roman"/>
          <w:szCs w:val="21"/>
        </w:rPr>
      </w:pPr>
      <w:r>
        <w:rPr>
          <w:rStyle w:val="14"/>
          <w:rFonts w:hint="eastAsia" w:hAnsi="宋体" w:eastAsia="宋体" w:cs="Times New Roman"/>
          <w:szCs w:val="21"/>
          <w:highlight w:val="white"/>
        </w:rPr>
        <w:t>身份证号码：</w:t>
      </w:r>
      <w:r>
        <w:rPr>
          <w:rStyle w:val="14"/>
          <w:rFonts w:eastAsia="宋体" w:cs="Times New Roman"/>
          <w:szCs w:val="21"/>
          <w:highlight w:val="white"/>
          <w:u w:val="single"/>
        </w:rPr>
        <w:t xml:space="preserve">                 </w:t>
      </w:r>
    </w:p>
    <w:p>
      <w:pPr>
        <w:pStyle w:val="49"/>
        <w:bidi w:val="0"/>
        <w:spacing w:line="360" w:lineRule="auto"/>
        <w:ind w:right="840" w:firstLine="4410" w:firstLineChars="2100"/>
        <w:rPr>
          <w:rStyle w:val="14"/>
          <w:rFonts w:eastAsia="宋体" w:cs="Times New Roman"/>
          <w:szCs w:val="21"/>
        </w:rPr>
      </w:pPr>
      <w:r>
        <w:rPr>
          <w:rStyle w:val="14"/>
          <w:rFonts w:hint="eastAsia" w:hAnsi="宋体" w:eastAsia="宋体" w:cs="Times New Roman"/>
          <w:szCs w:val="21"/>
          <w:highlight w:val="white"/>
        </w:rPr>
        <w:t>委托代理人：</w:t>
      </w:r>
      <w:r>
        <w:rPr>
          <w:rStyle w:val="14"/>
          <w:rFonts w:eastAsia="宋体" w:cs="Times New Roman"/>
          <w:szCs w:val="21"/>
          <w:highlight w:val="white"/>
          <w:u w:val="single"/>
        </w:rPr>
        <w:t xml:space="preserve">                 </w:t>
      </w:r>
    </w:p>
    <w:p>
      <w:pPr>
        <w:pStyle w:val="49"/>
        <w:bidi w:val="0"/>
        <w:spacing w:line="360" w:lineRule="auto"/>
        <w:ind w:right="420" w:firstLine="4410" w:firstLineChars="2100"/>
        <w:rPr>
          <w:rStyle w:val="14"/>
          <w:rFonts w:hint="eastAsia" w:eastAsia="宋体" w:cs="Times New Roman"/>
          <w:szCs w:val="21"/>
          <w:u w:val="single"/>
        </w:rPr>
      </w:pPr>
      <w:r>
        <w:rPr>
          <w:rStyle w:val="14"/>
          <w:rFonts w:hint="eastAsia" w:hAnsi="宋体" w:eastAsia="宋体" w:cs="Times New Roman"/>
          <w:szCs w:val="21"/>
          <w:highlight w:val="white"/>
        </w:rPr>
        <w:t>身份证号码：</w:t>
      </w:r>
      <w:r>
        <w:rPr>
          <w:rStyle w:val="14"/>
          <w:rFonts w:eastAsia="宋体" w:cs="Times New Roman"/>
          <w:szCs w:val="21"/>
          <w:highlight w:val="white"/>
          <w:u w:val="single"/>
        </w:rPr>
        <w:t xml:space="preserve">                 </w:t>
      </w:r>
    </w:p>
    <w:p>
      <w:pPr>
        <w:pStyle w:val="49"/>
        <w:bidi w:val="0"/>
        <w:spacing w:line="360" w:lineRule="exact"/>
        <w:ind w:right="420" w:firstLine="4410" w:firstLineChars="2100"/>
        <w:rPr>
          <w:rStyle w:val="14"/>
          <w:rFonts w:hint="eastAsia" w:eastAsia="宋体" w:cs="Times New Roman"/>
          <w:szCs w:val="21"/>
          <w:u w:val="single"/>
        </w:rPr>
      </w:pPr>
    </w:p>
    <w:p>
      <w:pPr>
        <w:pStyle w:val="50"/>
        <w:bidi w:val="0"/>
        <w:ind w:firstLine="4410" w:firstLineChars="2100"/>
        <w:rPr>
          <w:rStyle w:val="14"/>
          <w:rFonts w:ascii="Calibri" w:hAnsi="Calibri" w:eastAsia="宋体" w:cs="Times New Roman"/>
        </w:rPr>
      </w:pP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年</w:t>
      </w: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月</w:t>
      </w: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日</w:t>
      </w:r>
    </w:p>
    <w:p>
      <w:pPr>
        <w:pStyle w:val="51"/>
        <w:bidi w:val="0"/>
        <w:jc w:val="left"/>
        <w:outlineLvl w:val="1"/>
        <w:rPr>
          <w:rStyle w:val="14"/>
        </w:rPr>
      </w:pPr>
      <w:r>
        <w:rPr>
          <w:rStyle w:val="14"/>
          <w:highlight w:val="white"/>
        </w:rPr>
        <w:br w:type="page"/>
      </w:r>
      <w:bookmarkStart w:id="647" w:name="_Toc31692"/>
      <w:r>
        <w:rPr>
          <w:rStyle w:val="14"/>
          <w:highlight w:val="white"/>
        </w:rPr>
        <w:t>四、授权身份证</w:t>
      </w:r>
      <w:bookmarkEnd w:id="647"/>
    </w:p>
    <w:p>
      <w:pPr>
        <w:pStyle w:val="52"/>
        <w:bidi w:val="0"/>
        <w:jc w:val="center"/>
        <w:rPr>
          <w:rStyle w:val="14"/>
          <w:rFonts w:hint="eastAsia" w:ascii="Calibri" w:hAnsi="Calibri" w:eastAsia="宋体" w:cs="Times New Roman"/>
          <w:lang w:eastAsia="zh-CN"/>
        </w:rPr>
      </w:pPr>
      <w:r>
        <w:rPr>
          <w:rStyle w:val="14"/>
          <w:rFonts w:hint="eastAsia" w:ascii="Calibri" w:hAnsi="Calibri" w:eastAsia="宋体" w:cs="Times New Roman"/>
          <w:b/>
          <w:szCs w:val="21"/>
          <w:highlight w:val="white"/>
        </w:rPr>
        <w:t>授权委托人身份证</w:t>
      </w:r>
      <w:r>
        <w:rPr>
          <w:rStyle w:val="14"/>
          <w:rFonts w:hint="eastAsia" w:cs="Times New Roman"/>
          <w:b/>
          <w:szCs w:val="21"/>
          <w:highlight w:val="white"/>
          <w:lang w:val="en-US" w:eastAsia="zh-CN"/>
        </w:rPr>
        <w:t>复印件</w:t>
      </w:r>
    </w:p>
    <w:p>
      <w:pPr>
        <w:pStyle w:val="53"/>
        <w:bidi w:val="0"/>
        <w:jc w:val="left"/>
        <w:outlineLvl w:val="1"/>
        <w:rPr>
          <w:rStyle w:val="14"/>
        </w:rPr>
      </w:pPr>
      <w:r>
        <w:rPr>
          <w:rStyle w:val="14"/>
          <w:highlight w:val="white"/>
        </w:rPr>
        <w:br w:type="page"/>
      </w:r>
      <w:bookmarkStart w:id="648" w:name="_Toc10655"/>
      <w:r>
        <w:rPr>
          <w:rStyle w:val="14"/>
          <w:highlight w:val="white"/>
        </w:rPr>
        <w:t>五、投标保证金</w:t>
      </w:r>
      <w:bookmarkEnd w:id="648"/>
    </w:p>
    <w:p>
      <w:pPr>
        <w:pStyle w:val="54"/>
        <w:bidi w:val="0"/>
        <w:spacing w:line="360" w:lineRule="exact"/>
        <w:rPr>
          <w:rStyle w:val="14"/>
          <w:rFonts w:eastAsia="宋体" w:cs="Times New Roman"/>
          <w:szCs w:val="21"/>
        </w:rPr>
      </w:pPr>
    </w:p>
    <w:p>
      <w:pPr>
        <w:pStyle w:val="54"/>
        <w:bidi w:val="0"/>
        <w:spacing w:line="360" w:lineRule="auto"/>
        <w:rPr>
          <w:rStyle w:val="14"/>
          <w:rFonts w:eastAsia="宋体" w:cs="Times New Roman"/>
          <w:szCs w:val="21"/>
        </w:rPr>
      </w:pP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w:t>
      </w:r>
    </w:p>
    <w:p>
      <w:pPr>
        <w:pStyle w:val="54"/>
        <w:bidi w:val="0"/>
        <w:spacing w:line="360" w:lineRule="auto"/>
        <w:ind w:left="4" w:firstLine="573"/>
        <w:rPr>
          <w:rStyle w:val="14"/>
          <w:rFonts w:eastAsia="宋体" w:cs="Times New Roman"/>
          <w:szCs w:val="21"/>
          <w:u w:val="single"/>
        </w:rPr>
      </w:pPr>
      <w:r>
        <w:rPr>
          <w:rStyle w:val="14"/>
          <w:rFonts w:hint="eastAsia" w:hAnsi="宋体" w:eastAsia="宋体" w:cs="Times New Roman"/>
          <w:szCs w:val="21"/>
          <w:highlight w:val="white"/>
        </w:rPr>
        <w:t>我单位已经按照招标文件的要求提交了</w:t>
      </w:r>
      <w:r>
        <w:rPr>
          <w:rStyle w:val="14"/>
          <w:rFonts w:eastAsia="宋体" w:cs="Times New Roman"/>
          <w:szCs w:val="21"/>
          <w:highlight w:val="white"/>
        </w:rPr>
        <w:t xml:space="preserve"> </w:t>
      </w:r>
      <w:r>
        <w:rPr>
          <w:rStyle w:val="14"/>
          <w:rFonts w:eastAsia="宋体" w:cs="Times New Roman"/>
          <w:szCs w:val="21"/>
          <w:highlight w:val="white"/>
          <w:u w:val="single"/>
        </w:rPr>
        <w:t xml:space="preserve">                                            </w:t>
      </w:r>
    </w:p>
    <w:p>
      <w:pPr>
        <w:pStyle w:val="54"/>
        <w:bidi w:val="0"/>
        <w:spacing w:line="360" w:lineRule="auto"/>
        <w:ind w:left="2" w:hanging="2"/>
        <w:rPr>
          <w:rStyle w:val="14"/>
          <w:rFonts w:eastAsia="宋体" w:cs="Times New Roman"/>
          <w:szCs w:val="21"/>
        </w:rPr>
      </w:pPr>
      <w:r>
        <w:rPr>
          <w:rStyle w:val="14"/>
          <w:rFonts w:hint="eastAsia" w:hAnsi="宋体" w:eastAsia="宋体" w:cs="Times New Roman"/>
          <w:szCs w:val="21"/>
          <w:highlight w:val="white"/>
        </w:rPr>
        <w:t>项目的投标保证金</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元（小写：￥</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w:t>
      </w:r>
    </w:p>
    <w:p>
      <w:pPr>
        <w:pStyle w:val="54"/>
        <w:bidi w:val="0"/>
        <w:spacing w:line="360" w:lineRule="auto"/>
        <w:ind w:firstLine="459" w:firstLineChars="219"/>
        <w:rPr>
          <w:rStyle w:val="14"/>
          <w:rFonts w:eastAsia="宋体" w:cs="Times New Roman"/>
          <w:szCs w:val="21"/>
        </w:rPr>
      </w:pPr>
      <w:r>
        <w:rPr>
          <w:rStyle w:val="14"/>
          <w:rFonts w:hint="eastAsia" w:hAnsi="宋体" w:eastAsia="宋体" w:cs="Times New Roman"/>
          <w:szCs w:val="21"/>
          <w:highlight w:val="white"/>
        </w:rPr>
        <w:t>根据招标文件的规定，我单位严格按照程序履行投标保证金退付手续。</w:t>
      </w:r>
    </w:p>
    <w:p>
      <w:pPr>
        <w:pStyle w:val="54"/>
        <w:bidi w:val="0"/>
        <w:spacing w:line="360" w:lineRule="exact"/>
        <w:rPr>
          <w:rStyle w:val="14"/>
          <w:rFonts w:eastAsia="宋体" w:cs="Times New Roman"/>
          <w:szCs w:val="21"/>
        </w:rPr>
      </w:pPr>
    </w:p>
    <w:p>
      <w:pPr>
        <w:pStyle w:val="54"/>
        <w:bidi w:val="0"/>
        <w:spacing w:line="360" w:lineRule="exact"/>
        <w:rPr>
          <w:rStyle w:val="14"/>
          <w:rFonts w:eastAsia="宋体" w:cs="Times New Roman"/>
          <w:szCs w:val="21"/>
        </w:rPr>
      </w:pPr>
      <w:r>
        <w:rPr>
          <w:rStyle w:val="14"/>
          <w:rFonts w:eastAsia="宋体" w:cs="Times New Roman"/>
          <w:szCs w:val="21"/>
          <w:highlight w:val="white"/>
        </w:rPr>
        <w:t xml:space="preserve">      </w:t>
      </w:r>
    </w:p>
    <w:p>
      <w:pPr>
        <w:pStyle w:val="54"/>
        <w:bidi w:val="0"/>
        <w:spacing w:line="360" w:lineRule="exact"/>
        <w:ind w:firstLine="735" w:firstLineChars="350"/>
        <w:jc w:val="right"/>
        <w:rPr>
          <w:rStyle w:val="14"/>
          <w:rFonts w:hint="eastAsia" w:eastAsia="宋体" w:cs="Times New Roman"/>
          <w:szCs w:val="21"/>
        </w:rPr>
      </w:pPr>
      <w:r>
        <w:rPr>
          <w:rStyle w:val="14"/>
          <w:rFonts w:eastAsia="宋体" w:cs="Times New Roman"/>
          <w:szCs w:val="21"/>
          <w:highlight w:val="white"/>
        </w:rPr>
        <w:t xml:space="preserve">   </w:t>
      </w:r>
      <w:r>
        <w:rPr>
          <w:rStyle w:val="14"/>
          <w:rFonts w:hint="eastAsia" w:hAnsi="宋体" w:eastAsia="宋体" w:cs="Times New Roman"/>
          <w:szCs w:val="21"/>
          <w:highlight w:val="white"/>
        </w:rPr>
        <w:t>投标人：</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w:t>
      </w:r>
      <w:r>
        <w:rPr>
          <w:rStyle w:val="14"/>
          <w:rFonts w:hint="eastAsia" w:hAnsi="宋体" w:cs="Times New Roman"/>
          <w:szCs w:val="21"/>
          <w:highlight w:val="white"/>
          <w:lang w:val="en-US" w:eastAsia="zh-CN"/>
        </w:rPr>
        <w:t>单位公章</w:t>
      </w:r>
      <w:r>
        <w:rPr>
          <w:rStyle w:val="14"/>
          <w:rFonts w:hint="eastAsia" w:hAnsi="宋体" w:eastAsia="宋体" w:cs="Times New Roman"/>
          <w:szCs w:val="21"/>
          <w:highlight w:val="white"/>
        </w:rPr>
        <w:t>）</w:t>
      </w:r>
    </w:p>
    <w:p>
      <w:pPr>
        <w:pStyle w:val="54"/>
        <w:bidi w:val="0"/>
        <w:spacing w:line="360" w:lineRule="exact"/>
        <w:ind w:firstLine="735" w:firstLineChars="350"/>
        <w:jc w:val="right"/>
        <w:rPr>
          <w:rStyle w:val="14"/>
          <w:rFonts w:hint="eastAsia" w:hAnsi="宋体" w:eastAsia="宋体" w:cs="Times New Roman"/>
          <w:szCs w:val="21"/>
        </w:rPr>
      </w:pPr>
      <w:r>
        <w:rPr>
          <w:rStyle w:val="14"/>
          <w:rFonts w:hint="eastAsia" w:hAnsi="宋体" w:eastAsia="宋体" w:cs="Times New Roman"/>
          <w:szCs w:val="21"/>
          <w:highlight w:val="white"/>
        </w:rPr>
        <w:t>法定代表人：</w:t>
      </w:r>
      <w:r>
        <w:rPr>
          <w:rStyle w:val="14"/>
          <w:rFonts w:eastAsia="宋体" w:cs="Times New Roman"/>
          <w:szCs w:val="21"/>
          <w:highlight w:val="white"/>
        </w:rPr>
        <w:t xml:space="preserve"> </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w:t>
      </w:r>
      <w:r>
        <w:rPr>
          <w:rStyle w:val="14"/>
          <w:rFonts w:hint="eastAsia" w:hAnsi="宋体" w:cs="Times New Roman"/>
          <w:szCs w:val="21"/>
          <w:highlight w:val="white"/>
          <w:lang w:val="en-US" w:eastAsia="zh-CN"/>
        </w:rPr>
        <w:t>签字或</w:t>
      </w:r>
      <w:r>
        <w:rPr>
          <w:rStyle w:val="14"/>
          <w:rFonts w:hint="eastAsia" w:hAnsi="宋体" w:eastAsia="宋体" w:cs="Times New Roman"/>
          <w:szCs w:val="21"/>
          <w:highlight w:val="white"/>
        </w:rPr>
        <w:t>签章）</w:t>
      </w:r>
    </w:p>
    <w:p>
      <w:pPr>
        <w:pStyle w:val="54"/>
        <w:bidi w:val="0"/>
        <w:spacing w:line="360" w:lineRule="exact"/>
        <w:ind w:firstLine="735" w:firstLineChars="350"/>
        <w:jc w:val="right"/>
        <w:rPr>
          <w:rStyle w:val="14"/>
          <w:rFonts w:eastAsia="宋体" w:cs="Times New Roman"/>
          <w:szCs w:val="21"/>
        </w:rPr>
      </w:pP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年</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月</w:t>
      </w:r>
      <w:r>
        <w:rPr>
          <w:rStyle w:val="14"/>
          <w:rFonts w:eastAsia="宋体" w:cs="Times New Roman"/>
          <w:szCs w:val="21"/>
          <w:highlight w:val="white"/>
          <w:u w:val="single"/>
        </w:rPr>
        <w:t xml:space="preserve">       </w:t>
      </w:r>
      <w:r>
        <w:rPr>
          <w:rStyle w:val="14"/>
          <w:rFonts w:hint="eastAsia" w:hAnsi="宋体" w:eastAsia="宋体" w:cs="Times New Roman"/>
          <w:szCs w:val="21"/>
          <w:highlight w:val="white"/>
        </w:rPr>
        <w:t>日</w:t>
      </w:r>
    </w:p>
    <w:p>
      <w:pPr>
        <w:pStyle w:val="55"/>
        <w:bidi w:val="0"/>
        <w:jc w:val="left"/>
        <w:outlineLvl w:val="1"/>
        <w:rPr>
          <w:rStyle w:val="14"/>
        </w:rPr>
      </w:pPr>
      <w:r>
        <w:rPr>
          <w:rStyle w:val="14"/>
          <w:highlight w:val="white"/>
        </w:rPr>
        <w:br w:type="page"/>
      </w:r>
      <w:bookmarkStart w:id="649" w:name="_Toc31879"/>
      <w:r>
        <w:rPr>
          <w:rStyle w:val="14"/>
          <w:highlight w:val="white"/>
        </w:rPr>
        <w:t>六、投标人基本情况</w:t>
      </w:r>
      <w:bookmarkEnd w:id="649"/>
    </w:p>
    <w:p>
      <w:pPr>
        <w:pStyle w:val="56"/>
        <w:bidi w:val="0"/>
        <w:rPr>
          <w:rStyle w:val="14"/>
          <w:rFonts w:ascii="Calibri" w:hAnsi="Calibri" w:eastAsia="宋体" w:cs="Times New Roman"/>
        </w:rPr>
      </w:pPr>
    </w:p>
    <w:tbl>
      <w:tblPr>
        <w:tblStyle w:val="13"/>
        <w:tblW w:w="89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39"/>
        <w:gridCol w:w="956"/>
        <w:gridCol w:w="1013"/>
        <w:gridCol w:w="894"/>
        <w:gridCol w:w="448"/>
        <w:gridCol w:w="331"/>
        <w:gridCol w:w="1148"/>
        <w:gridCol w:w="522"/>
        <w:gridCol w:w="916"/>
        <w:gridCol w:w="8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839"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投标人名称</w:t>
            </w:r>
          </w:p>
        </w:tc>
        <w:tc>
          <w:tcPr>
            <w:tcW w:w="7086" w:type="dxa"/>
            <w:gridSpan w:val="9"/>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hint="eastAsia"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1839"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注册地区</w:t>
            </w:r>
          </w:p>
        </w:tc>
        <w:tc>
          <w:tcPr>
            <w:tcW w:w="3642" w:type="dxa"/>
            <w:gridSpan w:val="5"/>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1148"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邮政编码</w:t>
            </w:r>
          </w:p>
        </w:tc>
        <w:tc>
          <w:tcPr>
            <w:tcW w:w="2296" w:type="dxa"/>
            <w:gridSpan w:val="3"/>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1" w:hRule="atLeast"/>
          <w:jc w:val="center"/>
        </w:trPr>
        <w:tc>
          <w:tcPr>
            <w:tcW w:w="1839" w:type="dxa"/>
            <w:vMerge w:val="restart"/>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联系方式</w:t>
            </w:r>
          </w:p>
        </w:tc>
        <w:tc>
          <w:tcPr>
            <w:tcW w:w="956"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联系人</w:t>
            </w:r>
          </w:p>
        </w:tc>
        <w:tc>
          <w:tcPr>
            <w:tcW w:w="2686" w:type="dxa"/>
            <w:gridSpan w:val="4"/>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1148"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电</w:t>
            </w:r>
            <w:r>
              <w:rPr>
                <w:rStyle w:val="14"/>
                <w:rFonts w:ascii="Calibri" w:hAnsi="Calibri" w:eastAsia="宋体" w:cs="Times New Roman"/>
                <w:kern w:val="2"/>
                <w:sz w:val="21"/>
                <w:szCs w:val="22"/>
                <w:highlight w:val="white"/>
                <w:lang w:val="en-US" w:eastAsia="zh-CN" w:bidi="ar-SA"/>
              </w:rPr>
              <w:t xml:space="preserve"> </w:t>
            </w:r>
            <w:r>
              <w:rPr>
                <w:rStyle w:val="14"/>
                <w:rFonts w:hint="eastAsia" w:ascii="Calibri" w:hAnsi="Calibri" w:eastAsia="宋体" w:cs="Times New Roman"/>
                <w:kern w:val="2"/>
                <w:sz w:val="21"/>
                <w:szCs w:val="22"/>
                <w:highlight w:val="white"/>
                <w:lang w:val="en-US" w:eastAsia="zh-CN" w:bidi="ar-SA"/>
              </w:rPr>
              <w:t>话</w:t>
            </w:r>
          </w:p>
        </w:tc>
        <w:tc>
          <w:tcPr>
            <w:tcW w:w="2296" w:type="dxa"/>
            <w:gridSpan w:val="3"/>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9" w:hRule="atLeast"/>
          <w:jc w:val="center"/>
        </w:trPr>
        <w:tc>
          <w:tcPr>
            <w:tcW w:w="1839" w:type="dxa"/>
            <w:vMerge w:val="continue"/>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传</w:t>
            </w:r>
            <w:r>
              <w:rPr>
                <w:rStyle w:val="14"/>
                <w:rFonts w:ascii="Calibri" w:hAnsi="Calibri" w:eastAsia="宋体" w:cs="Times New Roman"/>
                <w:kern w:val="2"/>
                <w:sz w:val="21"/>
                <w:szCs w:val="22"/>
                <w:highlight w:val="white"/>
                <w:lang w:val="en-US" w:eastAsia="zh-CN" w:bidi="ar-SA"/>
              </w:rPr>
              <w:t xml:space="preserve">  </w:t>
            </w:r>
            <w:r>
              <w:rPr>
                <w:rStyle w:val="14"/>
                <w:rFonts w:hint="eastAsia" w:ascii="Calibri" w:hAnsi="Calibri" w:eastAsia="宋体" w:cs="Times New Roman"/>
                <w:kern w:val="2"/>
                <w:sz w:val="21"/>
                <w:szCs w:val="22"/>
                <w:highlight w:val="white"/>
                <w:lang w:val="en-US" w:eastAsia="zh-CN" w:bidi="ar-SA"/>
              </w:rPr>
              <w:t>真</w:t>
            </w:r>
          </w:p>
        </w:tc>
        <w:tc>
          <w:tcPr>
            <w:tcW w:w="2686" w:type="dxa"/>
            <w:gridSpan w:val="4"/>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1148"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网</w:t>
            </w:r>
            <w:r>
              <w:rPr>
                <w:rStyle w:val="14"/>
                <w:rFonts w:ascii="Calibri" w:hAnsi="Calibri" w:eastAsia="宋体" w:cs="Times New Roman"/>
                <w:kern w:val="2"/>
                <w:sz w:val="21"/>
                <w:szCs w:val="22"/>
                <w:highlight w:val="white"/>
                <w:lang w:val="en-US" w:eastAsia="zh-CN" w:bidi="ar-SA"/>
              </w:rPr>
              <w:t xml:space="preserve"> </w:t>
            </w:r>
            <w:r>
              <w:rPr>
                <w:rStyle w:val="14"/>
                <w:rFonts w:hint="eastAsia" w:ascii="Calibri" w:hAnsi="Calibri" w:eastAsia="宋体" w:cs="Times New Roman"/>
                <w:kern w:val="2"/>
                <w:sz w:val="21"/>
                <w:szCs w:val="22"/>
                <w:highlight w:val="white"/>
                <w:lang w:val="en-US" w:eastAsia="zh-CN" w:bidi="ar-SA"/>
              </w:rPr>
              <w:t>址</w:t>
            </w:r>
          </w:p>
        </w:tc>
        <w:tc>
          <w:tcPr>
            <w:tcW w:w="2296" w:type="dxa"/>
            <w:gridSpan w:val="3"/>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839"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组织结构</w:t>
            </w:r>
          </w:p>
        </w:tc>
        <w:tc>
          <w:tcPr>
            <w:tcW w:w="7086" w:type="dxa"/>
            <w:gridSpan w:val="9"/>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hint="eastAsia"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jc w:val="center"/>
        </w:trPr>
        <w:tc>
          <w:tcPr>
            <w:tcW w:w="1839"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法定代表人</w:t>
            </w:r>
          </w:p>
        </w:tc>
        <w:tc>
          <w:tcPr>
            <w:tcW w:w="956"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姓名</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1342"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技术职称</w:t>
            </w:r>
          </w:p>
        </w:tc>
        <w:tc>
          <w:tcPr>
            <w:tcW w:w="2001" w:type="dxa"/>
            <w:gridSpan w:val="3"/>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电话</w:t>
            </w:r>
          </w:p>
        </w:tc>
        <w:tc>
          <w:tcPr>
            <w:tcW w:w="858"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1839"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技术负责人</w:t>
            </w:r>
          </w:p>
        </w:tc>
        <w:tc>
          <w:tcPr>
            <w:tcW w:w="956"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姓名</w:t>
            </w:r>
          </w:p>
        </w:tc>
        <w:tc>
          <w:tcPr>
            <w:tcW w:w="1013"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1342"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技术职称</w:t>
            </w:r>
          </w:p>
        </w:tc>
        <w:tc>
          <w:tcPr>
            <w:tcW w:w="2001" w:type="dxa"/>
            <w:gridSpan w:val="3"/>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916"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电话</w:t>
            </w:r>
          </w:p>
        </w:tc>
        <w:tc>
          <w:tcPr>
            <w:tcW w:w="858"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 w:hRule="atLeast"/>
          <w:jc w:val="center"/>
        </w:trPr>
        <w:tc>
          <w:tcPr>
            <w:tcW w:w="1839"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成立时间</w:t>
            </w:r>
          </w:p>
        </w:tc>
        <w:tc>
          <w:tcPr>
            <w:tcW w:w="1969"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5117" w:type="dxa"/>
            <w:gridSpan w:val="7"/>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hint="eastAsia"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 xml:space="preserve">员工总人数：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7" w:hRule="atLeast"/>
          <w:jc w:val="center"/>
        </w:trPr>
        <w:tc>
          <w:tcPr>
            <w:tcW w:w="1839"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税务登记证编号</w:t>
            </w:r>
          </w:p>
        </w:tc>
        <w:tc>
          <w:tcPr>
            <w:tcW w:w="1969"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hint="eastAsia" w:ascii="Calibri" w:hAnsi="Calibri" w:eastAsia="宋体" w:cs="Times New Roman"/>
                <w:kern w:val="2"/>
                <w:sz w:val="21"/>
                <w:szCs w:val="22"/>
                <w:lang w:val="en-US" w:eastAsia="zh-CN" w:bidi="ar-SA"/>
              </w:rPr>
            </w:pPr>
          </w:p>
        </w:tc>
        <w:tc>
          <w:tcPr>
            <w:tcW w:w="894" w:type="dxa"/>
            <w:vMerge w:val="restart"/>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其中</w:t>
            </w:r>
          </w:p>
        </w:tc>
        <w:tc>
          <w:tcPr>
            <w:tcW w:w="2449" w:type="dxa"/>
            <w:gridSpan w:val="4"/>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项目负责人</w:t>
            </w:r>
          </w:p>
        </w:tc>
        <w:tc>
          <w:tcPr>
            <w:tcW w:w="1774"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hint="eastAsia"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6" w:hRule="atLeast"/>
          <w:jc w:val="center"/>
        </w:trPr>
        <w:tc>
          <w:tcPr>
            <w:tcW w:w="1839"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营业执照号</w:t>
            </w:r>
          </w:p>
        </w:tc>
        <w:tc>
          <w:tcPr>
            <w:tcW w:w="1969"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894" w:type="dxa"/>
            <w:vMerge w:val="continue"/>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2449" w:type="dxa"/>
            <w:gridSpan w:val="4"/>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高级职称人员</w:t>
            </w:r>
          </w:p>
        </w:tc>
        <w:tc>
          <w:tcPr>
            <w:tcW w:w="1774"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0" w:hRule="atLeast"/>
          <w:jc w:val="center"/>
        </w:trPr>
        <w:tc>
          <w:tcPr>
            <w:tcW w:w="1839"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注册资金</w:t>
            </w:r>
          </w:p>
        </w:tc>
        <w:tc>
          <w:tcPr>
            <w:tcW w:w="1969"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894" w:type="dxa"/>
            <w:vMerge w:val="continue"/>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2449" w:type="dxa"/>
            <w:gridSpan w:val="4"/>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中级职称人员</w:t>
            </w:r>
          </w:p>
        </w:tc>
        <w:tc>
          <w:tcPr>
            <w:tcW w:w="1774"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1839"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开户银行</w:t>
            </w:r>
          </w:p>
        </w:tc>
        <w:tc>
          <w:tcPr>
            <w:tcW w:w="1969"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894" w:type="dxa"/>
            <w:vMerge w:val="continue"/>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2449" w:type="dxa"/>
            <w:gridSpan w:val="4"/>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初级职称人员</w:t>
            </w:r>
          </w:p>
        </w:tc>
        <w:tc>
          <w:tcPr>
            <w:tcW w:w="1774"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1839"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账号</w:t>
            </w:r>
          </w:p>
        </w:tc>
        <w:tc>
          <w:tcPr>
            <w:tcW w:w="1969"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894" w:type="dxa"/>
            <w:vMerge w:val="continue"/>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c>
          <w:tcPr>
            <w:tcW w:w="2449" w:type="dxa"/>
            <w:gridSpan w:val="4"/>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rPr>
            </w:pPr>
            <w:r>
              <w:rPr>
                <w:rStyle w:val="14"/>
                <w:rFonts w:hint="eastAsia" w:ascii="Calibri" w:hAnsi="Calibri" w:eastAsia="宋体" w:cs="Times New Roman"/>
                <w:kern w:val="2"/>
                <w:sz w:val="21"/>
                <w:szCs w:val="22"/>
                <w:highlight w:val="white"/>
                <w:lang w:val="en-US" w:eastAsia="zh-CN"/>
              </w:rPr>
              <w:t>技工</w:t>
            </w:r>
          </w:p>
        </w:tc>
        <w:tc>
          <w:tcPr>
            <w:tcW w:w="1774" w:type="dxa"/>
            <w:gridSpan w:val="2"/>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91" w:hRule="atLeast"/>
          <w:jc w:val="center"/>
        </w:trPr>
        <w:tc>
          <w:tcPr>
            <w:tcW w:w="1839" w:type="dxa"/>
            <w:tcBorders>
              <w:top w:val="single" w:color="auto" w:sz="4" w:space="0"/>
              <w:left w:val="single" w:color="auto" w:sz="4" w:space="0"/>
              <w:bottom w:val="nil"/>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经营范围</w:t>
            </w:r>
          </w:p>
        </w:tc>
        <w:tc>
          <w:tcPr>
            <w:tcW w:w="7086" w:type="dxa"/>
            <w:gridSpan w:val="9"/>
            <w:tcBorders>
              <w:top w:val="single" w:color="auto" w:sz="4" w:space="0"/>
              <w:left w:val="single" w:color="auto" w:sz="4" w:space="0"/>
              <w:bottom w:val="nil"/>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1" w:hRule="atLeast"/>
          <w:jc w:val="center"/>
        </w:trPr>
        <w:tc>
          <w:tcPr>
            <w:tcW w:w="1839" w:type="dxa"/>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ascii="Calibri" w:hAnsi="Calibri" w:eastAsia="宋体" w:cs="Times New Roman"/>
                <w:kern w:val="2"/>
                <w:sz w:val="21"/>
                <w:szCs w:val="22"/>
                <w:lang w:val="en-US" w:eastAsia="zh-CN" w:bidi="ar-SA"/>
              </w:rPr>
            </w:pPr>
            <w:r>
              <w:rPr>
                <w:rStyle w:val="14"/>
                <w:rFonts w:hint="eastAsia" w:ascii="Calibri" w:hAnsi="Calibri" w:eastAsia="宋体" w:cs="Times New Roman"/>
                <w:kern w:val="2"/>
                <w:sz w:val="21"/>
                <w:szCs w:val="22"/>
                <w:highlight w:val="white"/>
                <w:lang w:val="en-US" w:eastAsia="zh-CN" w:bidi="ar-SA"/>
              </w:rPr>
              <w:t>备注</w:t>
            </w:r>
          </w:p>
        </w:tc>
        <w:tc>
          <w:tcPr>
            <w:tcW w:w="7086" w:type="dxa"/>
            <w:gridSpan w:val="9"/>
            <w:tcBorders>
              <w:top w:val="single" w:color="auto" w:sz="4" w:space="0"/>
              <w:left w:val="single" w:color="auto" w:sz="4" w:space="0"/>
              <w:bottom w:val="single" w:color="auto" w:sz="4" w:space="0"/>
              <w:right w:val="single" w:color="auto" w:sz="4" w:space="0"/>
            </w:tcBorders>
            <w:noWrap w:val="0"/>
            <w:vAlign w:val="center"/>
          </w:tcPr>
          <w:p>
            <w:pPr>
              <w:pStyle w:val="56"/>
              <w:widowControl w:val="0"/>
              <w:bidi w:val="0"/>
              <w:jc w:val="both"/>
              <w:rPr>
                <w:rStyle w:val="14"/>
                <w:rFonts w:hint="eastAsia" w:ascii="Calibri" w:hAnsi="Calibri" w:eastAsia="宋体" w:cs="Times New Roman"/>
                <w:kern w:val="2"/>
                <w:sz w:val="21"/>
                <w:szCs w:val="22"/>
                <w:lang w:val="en-US" w:eastAsia="zh-CN" w:bidi="ar-SA"/>
              </w:rPr>
            </w:pPr>
          </w:p>
        </w:tc>
      </w:tr>
    </w:tbl>
    <w:p>
      <w:pPr>
        <w:pStyle w:val="56"/>
        <w:bidi w:val="0"/>
        <w:rPr>
          <w:rStyle w:val="14"/>
          <w:rFonts w:ascii="Calibri" w:hAnsi="Calibri" w:eastAsia="宋体" w:cs="Times New Roman"/>
        </w:rPr>
      </w:pPr>
      <w:r>
        <w:rPr>
          <w:rStyle w:val="14"/>
          <w:rFonts w:ascii="Calibri" w:hAnsi="Calibri" w:eastAsia="宋体" w:cs="Times New Roman"/>
          <w:highlight w:val="white"/>
        </w:rPr>
        <w:t>营业执照</w:t>
      </w:r>
      <w:r>
        <w:rPr>
          <w:rStyle w:val="14"/>
          <w:rFonts w:hint="eastAsia" w:ascii="Calibri" w:hAnsi="Calibri" w:eastAsia="宋体" w:cs="Times New Roman"/>
          <w:highlight w:val="white"/>
        </w:rPr>
        <w:t>、安全生产许可证、资质证书等</w:t>
      </w:r>
      <w:r>
        <w:rPr>
          <w:rStyle w:val="14"/>
          <w:rFonts w:hint="eastAsia" w:cs="Times New Roman"/>
          <w:highlight w:val="white"/>
          <w:lang w:val="en-US" w:eastAsia="zh-CN"/>
        </w:rPr>
        <w:t>复印件</w:t>
      </w:r>
      <w:r>
        <w:rPr>
          <w:rStyle w:val="14"/>
          <w:rFonts w:hint="eastAsia" w:ascii="Calibri" w:hAnsi="Calibri" w:eastAsia="宋体" w:cs="Times New Roman"/>
          <w:highlight w:val="white"/>
        </w:rPr>
        <w:t>，具体要求见投标人资格要求。</w:t>
      </w:r>
    </w:p>
    <w:p>
      <w:pPr>
        <w:pStyle w:val="57"/>
        <w:pageBreakBefore/>
        <w:bidi w:val="0"/>
        <w:jc w:val="center"/>
        <w:rPr>
          <w:rStyle w:val="14"/>
          <w:rFonts w:ascii="Calibri" w:hAnsi="Calibri" w:eastAsia="宋体" w:cs="Times New Roman"/>
          <w:sz w:val="28"/>
          <w:szCs w:val="28"/>
        </w:rPr>
      </w:pPr>
      <w:r>
        <w:rPr>
          <w:rStyle w:val="14"/>
          <w:rFonts w:hint="eastAsia" w:ascii="Calibri" w:hAnsi="Calibri" w:eastAsia="宋体" w:cs="Times New Roman"/>
          <w:sz w:val="28"/>
          <w:szCs w:val="28"/>
          <w:highlight w:val="white"/>
        </w:rPr>
        <w:t>投标人</w:t>
      </w:r>
      <w:r>
        <w:rPr>
          <w:rStyle w:val="14"/>
          <w:rFonts w:ascii="Calibri" w:hAnsi="Calibri" w:eastAsia="宋体" w:cs="Times New Roman"/>
          <w:sz w:val="28"/>
          <w:szCs w:val="28"/>
          <w:highlight w:val="white"/>
        </w:rPr>
        <w:t>资质</w:t>
      </w:r>
    </w:p>
    <w:tbl>
      <w:tblPr>
        <w:tblStyle w:val="13"/>
        <w:tblpPr w:leftFromText="180" w:rightFromText="180" w:vertAnchor="page" w:horzAnchor="margin" w:tblpY="249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1705"/>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noWrap w:val="0"/>
            <w:vAlign w:val="top"/>
          </w:tcPr>
          <w:p>
            <w:pPr>
              <w:pStyle w:val="57"/>
              <w:bidi w:val="0"/>
              <w:spacing w:after="160" w:line="259" w:lineRule="auto"/>
              <w:rPr>
                <w:rStyle w:val="14"/>
                <w:rFonts w:ascii="Calibri" w:hAnsi="Calibri" w:eastAsia="宋体" w:cs="Times New Roman"/>
                <w:sz w:val="22"/>
                <w:szCs w:val="22"/>
                <w:lang w:val="en-US" w:eastAsia="zh-CN" w:bidi="ar-SA"/>
              </w:rPr>
            </w:pPr>
            <w:r>
              <w:rPr>
                <w:rStyle w:val="14"/>
                <w:rFonts w:hint="eastAsia" w:ascii="Calibri" w:hAnsi="Calibri" w:eastAsia="宋体" w:cs="Times New Roman"/>
                <w:sz w:val="22"/>
                <w:szCs w:val="22"/>
                <w:highlight w:val="white"/>
                <w:lang w:val="en-US" w:eastAsia="zh-CN" w:bidi="ar-SA"/>
              </w:rPr>
              <w:t>序号</w:t>
            </w:r>
          </w:p>
        </w:tc>
        <w:tc>
          <w:tcPr>
            <w:tcW w:w="1705" w:type="dxa"/>
            <w:noWrap w:val="0"/>
            <w:vAlign w:val="top"/>
          </w:tcPr>
          <w:p>
            <w:pPr>
              <w:pStyle w:val="57"/>
              <w:bidi w:val="0"/>
              <w:spacing w:after="160" w:line="259" w:lineRule="auto"/>
              <w:rPr>
                <w:rStyle w:val="14"/>
                <w:rFonts w:ascii="Calibri" w:hAnsi="Calibri" w:eastAsia="宋体" w:cs="Times New Roman"/>
                <w:sz w:val="22"/>
                <w:szCs w:val="22"/>
                <w:lang w:val="en-US" w:eastAsia="zh-CN" w:bidi="ar-SA"/>
              </w:rPr>
            </w:pPr>
            <w:r>
              <w:rPr>
                <w:rStyle w:val="14"/>
                <w:rFonts w:hint="eastAsia" w:ascii="Calibri" w:hAnsi="Calibri" w:eastAsia="宋体" w:cs="Times New Roman"/>
                <w:sz w:val="22"/>
                <w:szCs w:val="22"/>
                <w:highlight w:val="white"/>
                <w:lang w:val="en-US" w:eastAsia="zh-CN" w:bidi="ar-SA"/>
              </w:rPr>
              <w:t>证书</w:t>
            </w:r>
            <w:r>
              <w:rPr>
                <w:rStyle w:val="14"/>
                <w:rFonts w:ascii="Calibri" w:hAnsi="Calibri" w:eastAsia="宋体" w:cs="Times New Roman"/>
                <w:sz w:val="22"/>
                <w:szCs w:val="22"/>
                <w:highlight w:val="white"/>
                <w:lang w:val="en-US" w:eastAsia="zh-CN" w:bidi="ar-SA"/>
              </w:rPr>
              <w:t>编号</w:t>
            </w:r>
          </w:p>
        </w:tc>
        <w:tc>
          <w:tcPr>
            <w:tcW w:w="1704" w:type="dxa"/>
            <w:noWrap w:val="0"/>
            <w:vAlign w:val="top"/>
          </w:tcPr>
          <w:p>
            <w:pPr>
              <w:pStyle w:val="57"/>
              <w:bidi w:val="0"/>
              <w:spacing w:after="160" w:line="259" w:lineRule="auto"/>
              <w:rPr>
                <w:rStyle w:val="14"/>
                <w:rFonts w:ascii="Calibri" w:hAnsi="Calibri" w:eastAsia="宋体" w:cs="Times New Roman"/>
                <w:sz w:val="22"/>
                <w:szCs w:val="22"/>
                <w:lang w:val="en-US" w:eastAsia="zh-CN" w:bidi="ar-SA"/>
              </w:rPr>
            </w:pPr>
            <w:r>
              <w:rPr>
                <w:rStyle w:val="14"/>
                <w:rFonts w:hint="eastAsia" w:ascii="Calibri" w:hAnsi="Calibri" w:eastAsia="宋体" w:cs="Times New Roman"/>
                <w:sz w:val="22"/>
                <w:szCs w:val="22"/>
                <w:highlight w:val="white"/>
                <w:lang w:val="en-US" w:eastAsia="zh-CN" w:bidi="ar-SA"/>
              </w:rPr>
              <w:t>资质</w:t>
            </w:r>
            <w:r>
              <w:rPr>
                <w:rStyle w:val="14"/>
                <w:rFonts w:ascii="Calibri" w:hAnsi="Calibri" w:eastAsia="宋体" w:cs="Times New Roman"/>
                <w:sz w:val="22"/>
                <w:szCs w:val="22"/>
                <w:highlight w:val="white"/>
                <w:lang w:val="en-US" w:eastAsia="zh-CN" w:bidi="ar-SA"/>
              </w:rPr>
              <w:t>等级</w:t>
            </w:r>
          </w:p>
        </w:tc>
        <w:tc>
          <w:tcPr>
            <w:tcW w:w="1704" w:type="dxa"/>
            <w:noWrap w:val="0"/>
            <w:vAlign w:val="top"/>
          </w:tcPr>
          <w:p>
            <w:pPr>
              <w:pStyle w:val="57"/>
              <w:bidi w:val="0"/>
              <w:spacing w:after="160" w:line="259" w:lineRule="auto"/>
              <w:rPr>
                <w:rStyle w:val="14"/>
                <w:rFonts w:ascii="Calibri" w:hAnsi="Calibri" w:eastAsia="宋体" w:cs="Times New Roman"/>
                <w:sz w:val="22"/>
                <w:szCs w:val="22"/>
                <w:lang w:val="en-US" w:eastAsia="zh-CN" w:bidi="ar-SA"/>
              </w:rPr>
            </w:pPr>
            <w:r>
              <w:rPr>
                <w:rStyle w:val="14"/>
                <w:rFonts w:hint="eastAsia" w:ascii="Calibri" w:hAnsi="Calibri" w:eastAsia="宋体" w:cs="Times New Roman"/>
                <w:sz w:val="22"/>
                <w:szCs w:val="22"/>
                <w:highlight w:val="white"/>
                <w:lang w:val="en-US" w:eastAsia="zh-CN" w:bidi="ar-SA"/>
              </w:rPr>
              <w:t>证书</w:t>
            </w:r>
            <w:r>
              <w:rPr>
                <w:rStyle w:val="14"/>
                <w:rFonts w:ascii="Calibri" w:hAnsi="Calibri" w:eastAsia="宋体" w:cs="Times New Roman"/>
                <w:sz w:val="22"/>
                <w:szCs w:val="22"/>
                <w:highlight w:val="white"/>
                <w:lang w:val="en-US" w:eastAsia="zh-CN" w:bidi="ar-SA"/>
              </w:rPr>
              <w:t>有效截止时间</w:t>
            </w:r>
          </w:p>
        </w:tc>
        <w:tc>
          <w:tcPr>
            <w:tcW w:w="1704" w:type="dxa"/>
            <w:noWrap w:val="0"/>
            <w:vAlign w:val="top"/>
          </w:tcPr>
          <w:p>
            <w:pPr>
              <w:pStyle w:val="57"/>
              <w:bidi w:val="0"/>
              <w:spacing w:after="160" w:line="259" w:lineRule="auto"/>
              <w:rPr>
                <w:rStyle w:val="14"/>
                <w:rFonts w:ascii="Calibri" w:hAnsi="Calibri" w:eastAsia="宋体" w:cs="Times New Roman"/>
                <w:sz w:val="22"/>
                <w:szCs w:val="22"/>
                <w:lang w:val="en-US" w:eastAsia="zh-CN" w:bidi="ar-SA"/>
              </w:rPr>
            </w:pPr>
            <w:r>
              <w:rPr>
                <w:rStyle w:val="14"/>
                <w:rFonts w:hint="eastAsia" w:cs="Times New Roman"/>
                <w:sz w:val="22"/>
                <w:szCs w:val="22"/>
                <w:highlight w:val="whit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noWrap w:val="0"/>
            <w:vAlign w:val="top"/>
          </w:tcPr>
          <w:p>
            <w:pPr>
              <w:pStyle w:val="57"/>
              <w:bidi w:val="0"/>
              <w:spacing w:after="160" w:line="259" w:lineRule="auto"/>
              <w:rPr>
                <w:rStyle w:val="14"/>
                <w:rFonts w:ascii="Calibri" w:hAnsi="Calibri" w:eastAsia="宋体" w:cs="Times New Roman"/>
                <w:sz w:val="22"/>
                <w:szCs w:val="22"/>
                <w:lang w:val="en-US" w:eastAsia="zh-CN" w:bidi="ar-SA"/>
              </w:rPr>
            </w:pPr>
          </w:p>
        </w:tc>
        <w:tc>
          <w:tcPr>
            <w:tcW w:w="1705" w:type="dxa"/>
            <w:noWrap w:val="0"/>
            <w:vAlign w:val="top"/>
          </w:tcPr>
          <w:p>
            <w:pPr>
              <w:pStyle w:val="57"/>
              <w:bidi w:val="0"/>
              <w:spacing w:after="160" w:line="259" w:lineRule="auto"/>
              <w:rPr>
                <w:rStyle w:val="14"/>
                <w:rFonts w:ascii="Calibri" w:hAnsi="Calibri" w:eastAsia="宋体" w:cs="Times New Roman"/>
                <w:sz w:val="22"/>
                <w:szCs w:val="22"/>
                <w:lang w:val="en-US" w:eastAsia="zh-CN" w:bidi="ar-SA"/>
              </w:rPr>
            </w:pPr>
          </w:p>
        </w:tc>
        <w:tc>
          <w:tcPr>
            <w:tcW w:w="1704" w:type="dxa"/>
            <w:noWrap w:val="0"/>
            <w:vAlign w:val="top"/>
          </w:tcPr>
          <w:p>
            <w:pPr>
              <w:pStyle w:val="57"/>
              <w:bidi w:val="0"/>
              <w:spacing w:after="160" w:line="259" w:lineRule="auto"/>
              <w:rPr>
                <w:rStyle w:val="14"/>
                <w:rFonts w:ascii="Calibri" w:hAnsi="Calibri" w:eastAsia="宋体" w:cs="Times New Roman"/>
                <w:sz w:val="22"/>
                <w:szCs w:val="22"/>
                <w:lang w:val="en-US" w:eastAsia="zh-CN" w:bidi="ar-SA"/>
              </w:rPr>
            </w:pPr>
          </w:p>
        </w:tc>
        <w:tc>
          <w:tcPr>
            <w:tcW w:w="1704" w:type="dxa"/>
            <w:noWrap w:val="0"/>
            <w:vAlign w:val="top"/>
          </w:tcPr>
          <w:p>
            <w:pPr>
              <w:pStyle w:val="57"/>
              <w:bidi w:val="0"/>
              <w:spacing w:after="160" w:line="259" w:lineRule="auto"/>
              <w:rPr>
                <w:rStyle w:val="14"/>
                <w:rFonts w:ascii="Calibri" w:hAnsi="Calibri" w:eastAsia="宋体" w:cs="Times New Roman"/>
                <w:sz w:val="22"/>
                <w:szCs w:val="22"/>
                <w:lang w:val="en-US" w:eastAsia="zh-CN" w:bidi="ar-SA"/>
              </w:rPr>
            </w:pPr>
          </w:p>
        </w:tc>
        <w:tc>
          <w:tcPr>
            <w:tcW w:w="1704" w:type="dxa"/>
            <w:noWrap w:val="0"/>
            <w:vAlign w:val="top"/>
          </w:tcPr>
          <w:p>
            <w:pPr>
              <w:pStyle w:val="57"/>
              <w:bidi w:val="0"/>
              <w:spacing w:after="160" w:line="259" w:lineRule="auto"/>
              <w:rPr>
                <w:rStyle w:val="14"/>
                <w:rFonts w:ascii="Calibri" w:hAnsi="Calibri" w:eastAsia="宋体" w:cs="Times New Roman"/>
                <w:sz w:val="22"/>
                <w:szCs w:val="22"/>
                <w:lang w:val="en-US" w:eastAsia="zh-CN" w:bidi="ar-SA"/>
              </w:rPr>
            </w:pPr>
          </w:p>
        </w:tc>
      </w:tr>
    </w:tbl>
    <w:p>
      <w:pPr>
        <w:pStyle w:val="58"/>
        <w:bidi w:val="0"/>
        <w:jc w:val="left"/>
        <w:outlineLvl w:val="1"/>
        <w:rPr>
          <w:rStyle w:val="14"/>
        </w:rPr>
      </w:pPr>
      <w:r>
        <w:rPr>
          <w:rStyle w:val="14"/>
          <w:highlight w:val="white"/>
        </w:rPr>
        <w:br w:type="page"/>
      </w:r>
      <w:bookmarkStart w:id="650" w:name="_Toc4953"/>
      <w:r>
        <w:rPr>
          <w:rStyle w:val="14"/>
          <w:highlight w:val="white"/>
        </w:rPr>
        <w:t>七、项目负责人简历</w:t>
      </w:r>
      <w:bookmarkEnd w:id="650"/>
    </w:p>
    <w:p>
      <w:pPr>
        <w:pStyle w:val="59"/>
        <w:bidi w:val="0"/>
        <w:ind w:firstLine="0" w:firstLineChars="0"/>
        <w:jc w:val="center"/>
        <w:rPr>
          <w:rStyle w:val="14"/>
          <w:rFonts w:ascii="Calibri" w:hAnsi="Calibri" w:eastAsia="宋体" w:cs="Times New Roman"/>
          <w:sz w:val="28"/>
          <w:szCs w:val="28"/>
        </w:rPr>
      </w:pPr>
      <w:r>
        <w:rPr>
          <w:rStyle w:val="14"/>
          <w:rFonts w:hint="eastAsia" w:ascii="Calibri" w:hAnsi="Calibri" w:eastAsia="宋体" w:cs="Times New Roman"/>
          <w:sz w:val="28"/>
          <w:szCs w:val="28"/>
          <w:highlight w:val="white"/>
        </w:rPr>
        <w:t>拟投入项目负责人简历表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6"/>
        <w:gridCol w:w="349"/>
        <w:gridCol w:w="700"/>
        <w:gridCol w:w="901"/>
        <w:gridCol w:w="1035"/>
        <w:gridCol w:w="688"/>
        <w:gridCol w:w="1226"/>
        <w:gridCol w:w="156"/>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姓</w:t>
            </w:r>
            <w:r>
              <w:rPr>
                <w:rStyle w:val="14"/>
                <w:rFonts w:ascii="Times New Roman" w:hAnsi="Times New Roman" w:eastAsia="宋体" w:cs="Times New Roman"/>
                <w:kern w:val="2"/>
                <w:sz w:val="21"/>
                <w:szCs w:val="21"/>
                <w:highlight w:val="white"/>
                <w:lang w:val="en-US" w:eastAsia="zh-CN" w:bidi="ar-SA"/>
              </w:rPr>
              <w:t xml:space="preserve">  </w:t>
            </w:r>
            <w:r>
              <w:rPr>
                <w:rStyle w:val="14"/>
                <w:rFonts w:hint="eastAsia" w:ascii="Times New Roman" w:hAnsi="宋体" w:eastAsia="宋体" w:cs="Times New Roman"/>
                <w:kern w:val="2"/>
                <w:sz w:val="21"/>
                <w:szCs w:val="21"/>
                <w:highlight w:val="white"/>
                <w:lang w:val="en-US" w:eastAsia="zh-CN" w:bidi="ar-SA"/>
              </w:rPr>
              <w:t>名</w:t>
            </w:r>
          </w:p>
        </w:tc>
        <w:tc>
          <w:tcPr>
            <w:tcW w:w="1049" w:type="dxa"/>
            <w:gridSpan w:val="2"/>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hint="eastAsia" w:ascii="Calibri" w:hAnsi="Calibri" w:eastAsia="宋体" w:cs="Times New Roman"/>
                <w:kern w:val="2"/>
                <w:sz w:val="21"/>
                <w:szCs w:val="21"/>
                <w:lang w:val="en-US" w:eastAsia="zh-CN" w:bidi="ar-SA"/>
              </w:rPr>
            </w:pPr>
          </w:p>
        </w:tc>
        <w:tc>
          <w:tcPr>
            <w:tcW w:w="901" w:type="dxa"/>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年</w:t>
            </w:r>
            <w:r>
              <w:rPr>
                <w:rStyle w:val="14"/>
                <w:rFonts w:ascii="Times New Roman" w:hAnsi="Times New Roman" w:eastAsia="宋体" w:cs="Times New Roman"/>
                <w:kern w:val="2"/>
                <w:sz w:val="21"/>
                <w:szCs w:val="21"/>
                <w:highlight w:val="white"/>
                <w:lang w:val="en-US" w:eastAsia="zh-CN" w:bidi="ar-SA"/>
              </w:rPr>
              <w:t xml:space="preserve"> </w:t>
            </w:r>
            <w:r>
              <w:rPr>
                <w:rStyle w:val="14"/>
                <w:rFonts w:hint="eastAsia" w:ascii="Times New Roman" w:hAnsi="宋体" w:eastAsia="宋体" w:cs="Times New Roman"/>
                <w:kern w:val="2"/>
                <w:sz w:val="21"/>
                <w:szCs w:val="21"/>
                <w:highlight w:val="white"/>
                <w:lang w:val="en-US" w:eastAsia="zh-CN" w:bidi="ar-SA"/>
              </w:rPr>
              <w:t>龄</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p>
        </w:tc>
        <w:tc>
          <w:tcPr>
            <w:tcW w:w="2070" w:type="dxa"/>
            <w:gridSpan w:val="3"/>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学历</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职</w:t>
            </w:r>
            <w:r>
              <w:rPr>
                <w:rStyle w:val="14"/>
                <w:rFonts w:ascii="Times New Roman" w:hAnsi="Times New Roman" w:eastAsia="宋体" w:cs="Times New Roman"/>
                <w:kern w:val="2"/>
                <w:sz w:val="21"/>
                <w:szCs w:val="21"/>
                <w:highlight w:val="white"/>
                <w:lang w:val="en-US" w:eastAsia="zh-CN" w:bidi="ar-SA"/>
              </w:rPr>
              <w:t xml:space="preserve">  </w:t>
            </w:r>
            <w:r>
              <w:rPr>
                <w:rStyle w:val="14"/>
                <w:rFonts w:hint="eastAsia" w:ascii="Times New Roman" w:hAnsi="宋体" w:eastAsia="宋体" w:cs="Times New Roman"/>
                <w:kern w:val="2"/>
                <w:sz w:val="21"/>
                <w:szCs w:val="21"/>
                <w:highlight w:val="white"/>
                <w:lang w:val="en-US" w:eastAsia="zh-CN" w:bidi="ar-SA"/>
              </w:rPr>
              <w:t>称</w:t>
            </w:r>
          </w:p>
        </w:tc>
        <w:tc>
          <w:tcPr>
            <w:tcW w:w="1049" w:type="dxa"/>
            <w:gridSpan w:val="2"/>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ascii="Calibri" w:hAnsi="Calibri" w:eastAsia="宋体" w:cs="Times New Roman"/>
                <w:kern w:val="2"/>
                <w:sz w:val="21"/>
                <w:szCs w:val="21"/>
                <w:highlight w:val="white"/>
                <w:lang w:val="en-US" w:eastAsia="zh-CN" w:bidi="ar-SA"/>
              </w:rPr>
              <w:t xml:space="preserve"> </w:t>
            </w:r>
          </w:p>
        </w:tc>
        <w:tc>
          <w:tcPr>
            <w:tcW w:w="901" w:type="dxa"/>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职</w:t>
            </w:r>
            <w:r>
              <w:rPr>
                <w:rStyle w:val="14"/>
                <w:rFonts w:ascii="Times New Roman" w:hAnsi="Times New Roman" w:eastAsia="宋体" w:cs="Times New Roman"/>
                <w:kern w:val="2"/>
                <w:sz w:val="21"/>
                <w:szCs w:val="21"/>
                <w:highlight w:val="white"/>
                <w:lang w:val="en-US" w:eastAsia="zh-CN" w:bidi="ar-SA"/>
              </w:rPr>
              <w:t xml:space="preserve"> </w:t>
            </w:r>
            <w:r>
              <w:rPr>
                <w:rStyle w:val="14"/>
                <w:rFonts w:hint="eastAsia" w:ascii="Times New Roman" w:hAnsi="宋体" w:eastAsia="宋体" w:cs="Times New Roman"/>
                <w:kern w:val="2"/>
                <w:sz w:val="21"/>
                <w:szCs w:val="21"/>
                <w:highlight w:val="white"/>
                <w:lang w:val="en-US" w:eastAsia="zh-CN" w:bidi="ar-SA"/>
              </w:rPr>
              <w:t>务</w:t>
            </w:r>
          </w:p>
        </w:tc>
        <w:tc>
          <w:tcPr>
            <w:tcW w:w="1035" w:type="dxa"/>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p>
        </w:tc>
        <w:tc>
          <w:tcPr>
            <w:tcW w:w="2070" w:type="dxa"/>
            <w:gridSpan w:val="3"/>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拟在本合同任职</w:t>
            </w:r>
          </w:p>
        </w:tc>
        <w:tc>
          <w:tcPr>
            <w:tcW w:w="1862" w:type="dxa"/>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hint="eastAsia" w:ascii="Calibri" w:hAnsi="Calibri"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966" w:type="dxa"/>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毕业学校</w:t>
            </w:r>
          </w:p>
        </w:tc>
        <w:tc>
          <w:tcPr>
            <w:tcW w:w="6917" w:type="dxa"/>
            <w:gridSpan w:val="8"/>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年毕业于</w:t>
            </w:r>
            <w:r>
              <w:rPr>
                <w:rStyle w:val="14"/>
                <w:rFonts w:ascii="Times New Roman" w:hAnsi="Times New Roman" w:eastAsia="宋体" w:cs="Times New Roman"/>
                <w:kern w:val="2"/>
                <w:sz w:val="21"/>
                <w:szCs w:val="21"/>
                <w:highlight w:val="white"/>
                <w:lang w:val="en-US" w:eastAsia="zh-CN" w:bidi="ar-SA"/>
              </w:rPr>
              <w:t xml:space="preserve">            </w:t>
            </w:r>
            <w:r>
              <w:rPr>
                <w:rStyle w:val="14"/>
                <w:rFonts w:hint="eastAsia" w:ascii="Times New Roman" w:hAnsi="宋体" w:eastAsia="宋体" w:cs="Times New Roman"/>
                <w:kern w:val="2"/>
                <w:sz w:val="21"/>
                <w:szCs w:val="21"/>
                <w:highlight w:val="white"/>
                <w:lang w:val="en-US" w:eastAsia="zh-CN" w:bidi="ar-SA"/>
              </w:rPr>
              <w:t>学校</w:t>
            </w:r>
            <w:r>
              <w:rPr>
                <w:rStyle w:val="14"/>
                <w:rFonts w:ascii="Times New Roman" w:hAnsi="Times New Roman" w:eastAsia="宋体" w:cs="Times New Roman"/>
                <w:kern w:val="2"/>
                <w:sz w:val="21"/>
                <w:szCs w:val="21"/>
                <w:highlight w:val="white"/>
                <w:lang w:val="en-US" w:eastAsia="zh-CN" w:bidi="ar-SA"/>
              </w:rPr>
              <w:t xml:space="preserve">        </w:t>
            </w:r>
            <w:r>
              <w:rPr>
                <w:rStyle w:val="14"/>
                <w:rFonts w:hint="eastAsia" w:ascii="Times New Roman" w:hAnsi="宋体" w:eastAsia="宋体" w:cs="Times New Roman"/>
                <w:kern w:val="2"/>
                <w:sz w:val="21"/>
                <w:szCs w:val="21"/>
                <w:highlight w:val="white"/>
                <w:lang w:val="en-US" w:eastAsia="zh-CN" w:bidi="ar-SA"/>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8883" w:type="dxa"/>
            <w:gridSpan w:val="9"/>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2315" w:type="dxa"/>
            <w:gridSpan w:val="2"/>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时</w:t>
            </w:r>
            <w:r>
              <w:rPr>
                <w:rStyle w:val="14"/>
                <w:rFonts w:ascii="Times New Roman" w:hAnsi="Times New Roman" w:eastAsia="宋体" w:cs="Times New Roman"/>
                <w:kern w:val="2"/>
                <w:sz w:val="21"/>
                <w:szCs w:val="21"/>
                <w:highlight w:val="white"/>
                <w:lang w:val="en-US" w:eastAsia="zh-CN" w:bidi="ar-SA"/>
              </w:rPr>
              <w:t xml:space="preserve">  </w:t>
            </w:r>
            <w:r>
              <w:rPr>
                <w:rStyle w:val="14"/>
                <w:rFonts w:hint="eastAsia" w:ascii="Times New Roman" w:hAnsi="宋体" w:eastAsia="宋体" w:cs="Times New Roman"/>
                <w:kern w:val="2"/>
                <w:sz w:val="21"/>
                <w:szCs w:val="21"/>
                <w:highlight w:val="white"/>
                <w:lang w:val="en-US" w:eastAsia="zh-CN" w:bidi="ar-SA"/>
              </w:rPr>
              <w:t>间</w:t>
            </w:r>
          </w:p>
        </w:tc>
        <w:tc>
          <w:tcPr>
            <w:tcW w:w="3324" w:type="dxa"/>
            <w:gridSpan w:val="4"/>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参加过的类似项目</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担任职务</w:t>
            </w:r>
          </w:p>
        </w:tc>
        <w:tc>
          <w:tcPr>
            <w:tcW w:w="2018" w:type="dxa"/>
            <w:gridSpan w:val="2"/>
            <w:tcBorders>
              <w:top w:val="single" w:color="auto" w:sz="4" w:space="0"/>
              <w:left w:val="single" w:color="auto" w:sz="4" w:space="0"/>
              <w:bottom w:val="single" w:color="auto" w:sz="4" w:space="0"/>
              <w:right w:val="single" w:color="auto" w:sz="4" w:space="0"/>
            </w:tcBorders>
            <w:noWrap w:val="0"/>
            <w:vAlign w:val="center"/>
          </w:tcPr>
          <w:p>
            <w:pPr>
              <w:pStyle w:val="61"/>
              <w:widowControl w:val="0"/>
              <w:bidi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Times New Roman" w:hAnsi="宋体" w:eastAsia="宋体" w:cs="Times New Roman"/>
                <w:kern w:val="2"/>
                <w:sz w:val="21"/>
                <w:szCs w:val="21"/>
                <w:highlight w:val="white"/>
                <w:lang w:val="en-US" w:eastAsia="zh-CN" w:bidi="ar-SA"/>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315" w:type="dxa"/>
            <w:gridSpan w:val="2"/>
            <w:tcBorders>
              <w:top w:val="single" w:color="auto" w:sz="4" w:space="0"/>
              <w:left w:val="single" w:color="auto" w:sz="4" w:space="0"/>
              <w:bottom w:val="single" w:color="auto" w:sz="4" w:space="0"/>
              <w:right w:val="single" w:color="auto" w:sz="4" w:space="0"/>
            </w:tcBorders>
            <w:noWrap w:val="0"/>
            <w:vAlign w:val="top"/>
          </w:tcPr>
          <w:p>
            <w:pPr>
              <w:pStyle w:val="61"/>
              <w:widowControl w:val="0"/>
              <w:bidi w:val="0"/>
              <w:spacing w:line="360" w:lineRule="exact"/>
              <w:jc w:val="both"/>
              <w:rPr>
                <w:rStyle w:val="14"/>
                <w:rFonts w:ascii="Calibri" w:hAnsi="Calibri" w:eastAsia="宋体" w:cs="Times New Roman"/>
                <w:kern w:val="2"/>
                <w:sz w:val="21"/>
                <w:szCs w:val="21"/>
                <w:lang w:val="en-US" w:eastAsia="zh-CN" w:bidi="ar-SA"/>
              </w:rPr>
            </w:pPr>
          </w:p>
        </w:tc>
        <w:tc>
          <w:tcPr>
            <w:tcW w:w="3324" w:type="dxa"/>
            <w:gridSpan w:val="4"/>
            <w:tcBorders>
              <w:top w:val="single" w:color="auto" w:sz="4" w:space="0"/>
              <w:left w:val="single" w:color="auto" w:sz="4" w:space="0"/>
              <w:bottom w:val="single" w:color="auto" w:sz="4" w:space="0"/>
              <w:right w:val="single" w:color="auto" w:sz="4" w:space="0"/>
            </w:tcBorders>
            <w:noWrap w:val="0"/>
            <w:vAlign w:val="top"/>
          </w:tcPr>
          <w:p>
            <w:pPr>
              <w:pStyle w:val="61"/>
              <w:widowControl w:val="0"/>
              <w:bidi w:val="0"/>
              <w:spacing w:line="360" w:lineRule="exact"/>
              <w:jc w:val="both"/>
              <w:rPr>
                <w:rStyle w:val="14"/>
                <w:rFonts w:ascii="Calibri" w:hAnsi="Calibri" w:eastAsia="宋体" w:cs="Times New Roman"/>
                <w:kern w:val="2"/>
                <w:sz w:val="21"/>
                <w:szCs w:val="21"/>
                <w:lang w:val="en-US" w:eastAsia="zh-CN" w:bidi="ar-SA"/>
              </w:rPr>
            </w:pPr>
          </w:p>
        </w:tc>
        <w:tc>
          <w:tcPr>
            <w:tcW w:w="1226" w:type="dxa"/>
            <w:tcBorders>
              <w:top w:val="single" w:color="auto" w:sz="4" w:space="0"/>
              <w:left w:val="single" w:color="auto" w:sz="4" w:space="0"/>
              <w:bottom w:val="single" w:color="auto" w:sz="4" w:space="0"/>
              <w:right w:val="single" w:color="auto" w:sz="4" w:space="0"/>
            </w:tcBorders>
            <w:noWrap w:val="0"/>
            <w:vAlign w:val="top"/>
          </w:tcPr>
          <w:p>
            <w:pPr>
              <w:pStyle w:val="61"/>
              <w:widowControl w:val="0"/>
              <w:bidi w:val="0"/>
              <w:spacing w:line="360" w:lineRule="exact"/>
              <w:jc w:val="both"/>
              <w:rPr>
                <w:rStyle w:val="14"/>
                <w:rFonts w:ascii="Calibri" w:hAnsi="Calibri" w:eastAsia="宋体" w:cs="Times New Roman"/>
                <w:kern w:val="2"/>
                <w:sz w:val="21"/>
                <w:szCs w:val="21"/>
                <w:lang w:val="en-US" w:eastAsia="zh-CN" w:bidi="ar-SA"/>
              </w:rPr>
            </w:pPr>
          </w:p>
        </w:tc>
        <w:tc>
          <w:tcPr>
            <w:tcW w:w="2018" w:type="dxa"/>
            <w:gridSpan w:val="2"/>
            <w:tcBorders>
              <w:top w:val="single" w:color="auto" w:sz="4" w:space="0"/>
              <w:left w:val="single" w:color="auto" w:sz="4" w:space="0"/>
              <w:bottom w:val="single" w:color="auto" w:sz="4" w:space="0"/>
              <w:right w:val="single" w:color="auto" w:sz="4" w:space="0"/>
            </w:tcBorders>
            <w:noWrap w:val="0"/>
            <w:vAlign w:val="top"/>
          </w:tcPr>
          <w:p>
            <w:pPr>
              <w:pStyle w:val="61"/>
              <w:widowControl w:val="0"/>
              <w:bidi w:val="0"/>
              <w:spacing w:line="360" w:lineRule="exact"/>
              <w:jc w:val="both"/>
              <w:rPr>
                <w:rStyle w:val="14"/>
                <w:rFonts w:ascii="Calibri" w:hAnsi="Calibri"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315" w:type="dxa"/>
            <w:gridSpan w:val="2"/>
            <w:tcBorders>
              <w:top w:val="single" w:color="auto" w:sz="4" w:space="0"/>
              <w:left w:val="single" w:color="auto" w:sz="4" w:space="0"/>
              <w:bottom w:val="single" w:color="auto" w:sz="4" w:space="0"/>
              <w:right w:val="single" w:color="auto" w:sz="4" w:space="0"/>
            </w:tcBorders>
            <w:noWrap w:val="0"/>
            <w:vAlign w:val="top"/>
          </w:tcPr>
          <w:p>
            <w:pPr>
              <w:pStyle w:val="61"/>
              <w:widowControl w:val="0"/>
              <w:bidi w:val="0"/>
              <w:spacing w:line="360" w:lineRule="exact"/>
              <w:jc w:val="both"/>
              <w:rPr>
                <w:rStyle w:val="14"/>
                <w:rFonts w:ascii="Calibri" w:hAnsi="Calibri" w:eastAsia="宋体" w:cs="Times New Roman"/>
                <w:kern w:val="2"/>
                <w:sz w:val="21"/>
                <w:szCs w:val="21"/>
                <w:lang w:val="en-US" w:eastAsia="zh-CN" w:bidi="ar-SA"/>
              </w:rPr>
            </w:pPr>
          </w:p>
        </w:tc>
        <w:tc>
          <w:tcPr>
            <w:tcW w:w="3324" w:type="dxa"/>
            <w:gridSpan w:val="4"/>
            <w:tcBorders>
              <w:top w:val="single" w:color="auto" w:sz="4" w:space="0"/>
              <w:left w:val="single" w:color="auto" w:sz="4" w:space="0"/>
              <w:bottom w:val="single" w:color="auto" w:sz="4" w:space="0"/>
              <w:right w:val="single" w:color="auto" w:sz="4" w:space="0"/>
            </w:tcBorders>
            <w:noWrap w:val="0"/>
            <w:vAlign w:val="top"/>
          </w:tcPr>
          <w:p>
            <w:pPr>
              <w:pStyle w:val="61"/>
              <w:widowControl w:val="0"/>
              <w:bidi w:val="0"/>
              <w:spacing w:line="360" w:lineRule="exact"/>
              <w:jc w:val="both"/>
              <w:rPr>
                <w:rStyle w:val="14"/>
                <w:rFonts w:ascii="Calibri" w:hAnsi="Calibri" w:eastAsia="宋体" w:cs="Times New Roman"/>
                <w:kern w:val="2"/>
                <w:sz w:val="21"/>
                <w:szCs w:val="21"/>
                <w:lang w:val="en-US" w:eastAsia="zh-CN" w:bidi="ar-SA"/>
              </w:rPr>
            </w:pPr>
          </w:p>
        </w:tc>
        <w:tc>
          <w:tcPr>
            <w:tcW w:w="1226" w:type="dxa"/>
            <w:tcBorders>
              <w:top w:val="single" w:color="auto" w:sz="4" w:space="0"/>
              <w:left w:val="single" w:color="auto" w:sz="4" w:space="0"/>
              <w:bottom w:val="single" w:color="auto" w:sz="4" w:space="0"/>
              <w:right w:val="single" w:color="auto" w:sz="4" w:space="0"/>
            </w:tcBorders>
            <w:noWrap w:val="0"/>
            <w:vAlign w:val="top"/>
          </w:tcPr>
          <w:p>
            <w:pPr>
              <w:pStyle w:val="61"/>
              <w:widowControl w:val="0"/>
              <w:bidi w:val="0"/>
              <w:spacing w:line="360" w:lineRule="exact"/>
              <w:jc w:val="both"/>
              <w:rPr>
                <w:rStyle w:val="14"/>
                <w:rFonts w:ascii="Calibri" w:hAnsi="Calibri" w:eastAsia="宋体" w:cs="Times New Roman"/>
                <w:kern w:val="2"/>
                <w:sz w:val="21"/>
                <w:szCs w:val="21"/>
                <w:lang w:val="en-US" w:eastAsia="zh-CN" w:bidi="ar-SA"/>
              </w:rPr>
            </w:pPr>
          </w:p>
        </w:tc>
        <w:tc>
          <w:tcPr>
            <w:tcW w:w="2018" w:type="dxa"/>
            <w:gridSpan w:val="2"/>
            <w:tcBorders>
              <w:top w:val="single" w:color="auto" w:sz="4" w:space="0"/>
              <w:left w:val="single" w:color="auto" w:sz="4" w:space="0"/>
              <w:bottom w:val="single" w:color="auto" w:sz="4" w:space="0"/>
              <w:right w:val="single" w:color="auto" w:sz="4" w:space="0"/>
            </w:tcBorders>
            <w:noWrap w:val="0"/>
            <w:vAlign w:val="top"/>
          </w:tcPr>
          <w:p>
            <w:pPr>
              <w:pStyle w:val="61"/>
              <w:widowControl w:val="0"/>
              <w:bidi w:val="0"/>
              <w:spacing w:line="360" w:lineRule="exact"/>
              <w:jc w:val="both"/>
              <w:rPr>
                <w:rStyle w:val="14"/>
                <w:rFonts w:ascii="Calibri" w:hAnsi="Calibri" w:eastAsia="宋体"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2315" w:type="dxa"/>
            <w:gridSpan w:val="2"/>
            <w:tcBorders>
              <w:top w:val="single" w:color="auto" w:sz="4" w:space="0"/>
              <w:left w:val="single" w:color="auto" w:sz="4" w:space="0"/>
              <w:bottom w:val="single" w:color="auto" w:sz="4" w:space="0"/>
              <w:right w:val="single" w:color="auto" w:sz="4" w:space="0"/>
            </w:tcBorders>
            <w:noWrap w:val="0"/>
            <w:vAlign w:val="top"/>
          </w:tcPr>
          <w:p>
            <w:pPr>
              <w:pStyle w:val="61"/>
              <w:widowControl w:val="0"/>
              <w:bidi w:val="0"/>
              <w:spacing w:line="360" w:lineRule="exact"/>
              <w:jc w:val="both"/>
              <w:rPr>
                <w:rStyle w:val="14"/>
                <w:rFonts w:ascii="Calibri" w:hAnsi="Calibri" w:eastAsia="宋体" w:cs="Times New Roman"/>
                <w:kern w:val="2"/>
                <w:sz w:val="21"/>
                <w:szCs w:val="21"/>
                <w:lang w:val="en-US" w:eastAsia="zh-CN" w:bidi="ar-SA"/>
              </w:rPr>
            </w:pPr>
          </w:p>
        </w:tc>
        <w:tc>
          <w:tcPr>
            <w:tcW w:w="3324" w:type="dxa"/>
            <w:gridSpan w:val="4"/>
            <w:tcBorders>
              <w:top w:val="single" w:color="auto" w:sz="4" w:space="0"/>
              <w:left w:val="single" w:color="auto" w:sz="4" w:space="0"/>
              <w:bottom w:val="single" w:color="auto" w:sz="4" w:space="0"/>
              <w:right w:val="single" w:color="auto" w:sz="4" w:space="0"/>
            </w:tcBorders>
            <w:noWrap w:val="0"/>
            <w:vAlign w:val="top"/>
          </w:tcPr>
          <w:p>
            <w:pPr>
              <w:pStyle w:val="61"/>
              <w:widowControl w:val="0"/>
              <w:bidi w:val="0"/>
              <w:spacing w:line="360" w:lineRule="exact"/>
              <w:jc w:val="both"/>
              <w:rPr>
                <w:rStyle w:val="14"/>
                <w:rFonts w:ascii="Calibri" w:hAnsi="Calibri" w:eastAsia="宋体" w:cs="Times New Roman"/>
                <w:kern w:val="2"/>
                <w:sz w:val="21"/>
                <w:szCs w:val="21"/>
                <w:lang w:val="en-US" w:eastAsia="zh-CN" w:bidi="ar-SA"/>
              </w:rPr>
            </w:pPr>
          </w:p>
        </w:tc>
        <w:tc>
          <w:tcPr>
            <w:tcW w:w="1226" w:type="dxa"/>
            <w:tcBorders>
              <w:top w:val="single" w:color="auto" w:sz="4" w:space="0"/>
              <w:left w:val="single" w:color="auto" w:sz="4" w:space="0"/>
              <w:bottom w:val="single" w:color="auto" w:sz="4" w:space="0"/>
              <w:right w:val="single" w:color="auto" w:sz="4" w:space="0"/>
            </w:tcBorders>
            <w:noWrap w:val="0"/>
            <w:vAlign w:val="top"/>
          </w:tcPr>
          <w:p>
            <w:pPr>
              <w:pStyle w:val="61"/>
              <w:widowControl w:val="0"/>
              <w:bidi w:val="0"/>
              <w:spacing w:line="360" w:lineRule="exact"/>
              <w:jc w:val="both"/>
              <w:rPr>
                <w:rStyle w:val="14"/>
                <w:rFonts w:ascii="Calibri" w:hAnsi="Calibri" w:eastAsia="宋体" w:cs="Times New Roman"/>
                <w:kern w:val="2"/>
                <w:sz w:val="21"/>
                <w:szCs w:val="21"/>
                <w:lang w:val="en-US" w:eastAsia="zh-CN" w:bidi="ar-SA"/>
              </w:rPr>
            </w:pPr>
          </w:p>
        </w:tc>
        <w:tc>
          <w:tcPr>
            <w:tcW w:w="2018" w:type="dxa"/>
            <w:gridSpan w:val="2"/>
            <w:tcBorders>
              <w:top w:val="single" w:color="auto" w:sz="4" w:space="0"/>
              <w:left w:val="single" w:color="auto" w:sz="4" w:space="0"/>
              <w:bottom w:val="single" w:color="auto" w:sz="4" w:space="0"/>
              <w:right w:val="single" w:color="auto" w:sz="4" w:space="0"/>
            </w:tcBorders>
            <w:noWrap w:val="0"/>
            <w:vAlign w:val="top"/>
          </w:tcPr>
          <w:p>
            <w:pPr>
              <w:pStyle w:val="61"/>
              <w:widowControl w:val="0"/>
              <w:bidi w:val="0"/>
              <w:spacing w:line="360" w:lineRule="exact"/>
              <w:jc w:val="both"/>
              <w:rPr>
                <w:rStyle w:val="14"/>
                <w:rFonts w:ascii="Calibri" w:hAnsi="Calibri" w:eastAsia="宋体" w:cs="Times New Roman"/>
                <w:kern w:val="2"/>
                <w:sz w:val="21"/>
                <w:szCs w:val="21"/>
                <w:lang w:val="en-US" w:eastAsia="zh-CN" w:bidi="ar-SA"/>
              </w:rPr>
            </w:pPr>
          </w:p>
        </w:tc>
      </w:tr>
    </w:tbl>
    <w:p>
      <w:pPr>
        <w:pStyle w:val="60"/>
        <w:bidi w:val="0"/>
        <w:rPr>
          <w:rStyle w:val="14"/>
          <w:rFonts w:ascii="Calibri" w:hAnsi="Calibri" w:eastAsia="宋体" w:cs="Times New Roman"/>
        </w:rPr>
      </w:pPr>
    </w:p>
    <w:p>
      <w:pPr>
        <w:pStyle w:val="62"/>
        <w:bidi w:val="0"/>
        <w:rPr>
          <w:rStyle w:val="14"/>
          <w:rFonts w:ascii="Calibri" w:hAnsi="Calibri" w:eastAsia="宋体" w:cs="Times New Roman"/>
        </w:rPr>
      </w:pPr>
      <w:r>
        <w:rPr>
          <w:rStyle w:val="14"/>
          <w:rFonts w:hint="eastAsia" w:ascii="Calibri" w:hAnsi="Calibri" w:eastAsia="宋体" w:cs="Times New Roman"/>
          <w:szCs w:val="21"/>
          <w:highlight w:val="white"/>
        </w:rPr>
        <w:t>身份证、职称证、管理过的项目业绩等</w:t>
      </w:r>
      <w:r>
        <w:rPr>
          <w:rStyle w:val="14"/>
          <w:rFonts w:hint="eastAsia" w:cs="Times New Roman"/>
          <w:szCs w:val="21"/>
          <w:highlight w:val="white"/>
          <w:lang w:val="en-US" w:eastAsia="zh-CN"/>
        </w:rPr>
        <w:t>复印件</w:t>
      </w:r>
      <w:r>
        <w:rPr>
          <w:rStyle w:val="14"/>
          <w:rFonts w:hint="eastAsia" w:ascii="Calibri" w:hAnsi="Calibri" w:eastAsia="宋体" w:cs="Times New Roman"/>
          <w:szCs w:val="21"/>
          <w:highlight w:val="white"/>
        </w:rPr>
        <w:t>。</w:t>
      </w:r>
    </w:p>
    <w:p>
      <w:pPr>
        <w:pStyle w:val="63"/>
        <w:bidi w:val="0"/>
        <w:jc w:val="center"/>
        <w:rPr>
          <w:rStyle w:val="14"/>
          <w:rFonts w:ascii="Calibri" w:hAnsi="Calibri" w:eastAsia="宋体" w:cs="Times New Roman"/>
          <w:sz w:val="28"/>
          <w:szCs w:val="28"/>
        </w:rPr>
      </w:pPr>
      <w:r>
        <w:rPr>
          <w:rStyle w:val="14"/>
          <w:rFonts w:hint="eastAsia" w:ascii="Calibri" w:hAnsi="Calibri" w:eastAsia="宋体" w:cs="Times New Roman"/>
          <w:sz w:val="28"/>
          <w:szCs w:val="28"/>
          <w:highlight w:val="white"/>
        </w:rPr>
        <w:t>拟</w:t>
      </w:r>
      <w:r>
        <w:rPr>
          <w:rStyle w:val="14"/>
          <w:rFonts w:ascii="Calibri" w:hAnsi="Calibri" w:eastAsia="宋体" w:cs="Times New Roman"/>
          <w:sz w:val="28"/>
          <w:szCs w:val="28"/>
          <w:highlight w:val="white"/>
        </w:rPr>
        <w:t>投入</w:t>
      </w:r>
      <w:r>
        <w:rPr>
          <w:rStyle w:val="14"/>
          <w:rFonts w:hint="eastAsia" w:ascii="Calibri" w:hAnsi="Calibri" w:eastAsia="宋体" w:cs="Times New Roman"/>
          <w:sz w:val="28"/>
          <w:szCs w:val="28"/>
          <w:highlight w:val="white"/>
        </w:rPr>
        <w:t>项目</w:t>
      </w:r>
      <w:r>
        <w:rPr>
          <w:rStyle w:val="14"/>
          <w:rFonts w:ascii="Calibri" w:hAnsi="Calibri" w:eastAsia="宋体" w:cs="Times New Roman"/>
          <w:sz w:val="28"/>
          <w:szCs w:val="28"/>
          <w:highlight w:val="white"/>
        </w:rPr>
        <w:t>负责人资质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2"/>
        <w:gridCol w:w="1233"/>
        <w:gridCol w:w="1233"/>
        <w:gridCol w:w="1233"/>
        <w:gridCol w:w="1233"/>
        <w:gridCol w:w="1233"/>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32"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r>
              <w:rPr>
                <w:rStyle w:val="14"/>
                <w:rFonts w:hint="eastAsia" w:ascii="Calibri" w:hAnsi="Calibri" w:eastAsia="宋体" w:cs="Times New Roman"/>
                <w:sz w:val="22"/>
                <w:szCs w:val="22"/>
                <w:highlight w:val="white"/>
                <w:lang w:val="en-US" w:eastAsia="zh-CN" w:bidi="ar-SA"/>
              </w:rPr>
              <w:t>序号</w:t>
            </w:r>
          </w:p>
        </w:tc>
        <w:tc>
          <w:tcPr>
            <w:tcW w:w="1233"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r>
              <w:rPr>
                <w:rStyle w:val="14"/>
                <w:rFonts w:hint="eastAsia" w:ascii="Calibri" w:hAnsi="Calibri" w:eastAsia="宋体" w:cs="Times New Roman"/>
                <w:sz w:val="22"/>
                <w:szCs w:val="22"/>
                <w:highlight w:val="white"/>
                <w:lang w:val="en-US" w:eastAsia="zh-CN" w:bidi="ar-SA"/>
              </w:rPr>
              <w:t>姓名</w:t>
            </w:r>
          </w:p>
        </w:tc>
        <w:tc>
          <w:tcPr>
            <w:tcW w:w="1233"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r>
              <w:rPr>
                <w:rStyle w:val="14"/>
                <w:rFonts w:hint="eastAsia" w:ascii="Calibri" w:hAnsi="Calibri" w:eastAsia="宋体" w:cs="Times New Roman"/>
                <w:sz w:val="22"/>
                <w:szCs w:val="22"/>
                <w:highlight w:val="white"/>
                <w:lang w:val="en-US" w:eastAsia="zh-CN" w:bidi="ar-SA"/>
              </w:rPr>
              <w:t>身份证号</w:t>
            </w:r>
          </w:p>
        </w:tc>
        <w:tc>
          <w:tcPr>
            <w:tcW w:w="1233"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r>
              <w:rPr>
                <w:rStyle w:val="14"/>
                <w:rFonts w:hint="eastAsia" w:ascii="Calibri" w:hAnsi="Calibri" w:eastAsia="宋体" w:cs="Times New Roman"/>
                <w:sz w:val="22"/>
                <w:szCs w:val="22"/>
                <w:highlight w:val="white"/>
                <w:lang w:val="en-US" w:eastAsia="zh-CN" w:bidi="ar-SA"/>
              </w:rPr>
              <w:t>证书</w:t>
            </w:r>
            <w:r>
              <w:rPr>
                <w:rStyle w:val="14"/>
                <w:rFonts w:ascii="Calibri" w:hAnsi="Calibri" w:eastAsia="宋体" w:cs="Times New Roman"/>
                <w:sz w:val="22"/>
                <w:szCs w:val="22"/>
                <w:highlight w:val="white"/>
                <w:lang w:val="en-US" w:eastAsia="zh-CN" w:bidi="ar-SA"/>
              </w:rPr>
              <w:t>名称</w:t>
            </w:r>
          </w:p>
        </w:tc>
        <w:tc>
          <w:tcPr>
            <w:tcW w:w="1233"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r>
              <w:rPr>
                <w:rStyle w:val="14"/>
                <w:rFonts w:hint="eastAsia" w:ascii="Calibri" w:hAnsi="Calibri" w:eastAsia="宋体" w:cs="Times New Roman"/>
                <w:sz w:val="22"/>
                <w:szCs w:val="22"/>
                <w:highlight w:val="white"/>
                <w:lang w:val="en-US" w:eastAsia="zh-CN" w:bidi="ar-SA"/>
              </w:rPr>
              <w:t>证书</w:t>
            </w:r>
            <w:r>
              <w:rPr>
                <w:rStyle w:val="14"/>
                <w:rFonts w:ascii="Calibri" w:hAnsi="Calibri" w:eastAsia="宋体" w:cs="Times New Roman"/>
                <w:sz w:val="22"/>
                <w:szCs w:val="22"/>
                <w:highlight w:val="white"/>
                <w:lang w:val="en-US" w:eastAsia="zh-CN" w:bidi="ar-SA"/>
              </w:rPr>
              <w:t>编号</w:t>
            </w:r>
          </w:p>
        </w:tc>
        <w:tc>
          <w:tcPr>
            <w:tcW w:w="1233"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r>
              <w:rPr>
                <w:rStyle w:val="14"/>
                <w:rFonts w:hint="eastAsia" w:ascii="Calibri" w:hAnsi="Calibri" w:eastAsia="宋体" w:cs="Times New Roman"/>
                <w:sz w:val="22"/>
                <w:szCs w:val="22"/>
                <w:highlight w:val="white"/>
                <w:lang w:val="en-US" w:eastAsia="zh-CN" w:bidi="ar-SA"/>
              </w:rPr>
              <w:t>有效期</w:t>
            </w:r>
          </w:p>
        </w:tc>
        <w:tc>
          <w:tcPr>
            <w:tcW w:w="1233"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r>
              <w:rPr>
                <w:rStyle w:val="14"/>
                <w:rFonts w:hint="eastAsia" w:ascii="Calibri" w:hAnsi="Calibri" w:eastAsia="宋体" w:cs="Times New Roman"/>
                <w:sz w:val="22"/>
                <w:szCs w:val="22"/>
                <w:highlight w:val="white"/>
                <w:lang w:val="en-US" w:eastAsia="zh-CN" w:bidi="ar-SA"/>
              </w:rPr>
              <w:t>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2"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p>
        </w:tc>
        <w:tc>
          <w:tcPr>
            <w:tcW w:w="1233"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p>
        </w:tc>
        <w:tc>
          <w:tcPr>
            <w:tcW w:w="1233"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p>
        </w:tc>
        <w:tc>
          <w:tcPr>
            <w:tcW w:w="1233"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p>
        </w:tc>
        <w:tc>
          <w:tcPr>
            <w:tcW w:w="1233"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p>
        </w:tc>
        <w:tc>
          <w:tcPr>
            <w:tcW w:w="1233"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p>
        </w:tc>
        <w:tc>
          <w:tcPr>
            <w:tcW w:w="1233" w:type="dxa"/>
            <w:noWrap w:val="0"/>
            <w:vAlign w:val="top"/>
          </w:tcPr>
          <w:p>
            <w:pPr>
              <w:pStyle w:val="63"/>
              <w:bidi w:val="0"/>
              <w:spacing w:after="160" w:line="259" w:lineRule="auto"/>
              <w:rPr>
                <w:rStyle w:val="14"/>
                <w:rFonts w:ascii="Calibri" w:hAnsi="Calibri" w:eastAsia="宋体" w:cs="Times New Roman"/>
                <w:sz w:val="22"/>
                <w:szCs w:val="22"/>
                <w:lang w:val="en-US" w:eastAsia="zh-CN" w:bidi="ar-SA"/>
              </w:rPr>
            </w:pPr>
          </w:p>
        </w:tc>
      </w:tr>
    </w:tbl>
    <w:p>
      <w:pPr>
        <w:pStyle w:val="63"/>
        <w:bidi w:val="0"/>
        <w:rPr>
          <w:rStyle w:val="14"/>
          <w:rFonts w:hint="eastAsia" w:ascii="Calibri" w:hAnsi="Calibri" w:eastAsia="宋体" w:cs="Times New Roman"/>
          <w:lang w:val="en-US" w:eastAsia="zh-CN"/>
        </w:rPr>
      </w:pPr>
      <w:r>
        <w:rPr>
          <w:rStyle w:val="14"/>
          <w:rFonts w:hint="eastAsia" w:ascii="Calibri" w:hAnsi="Calibri" w:eastAsia="宋体" w:cs="Times New Roman"/>
          <w:highlight w:val="white"/>
        </w:rPr>
        <w:t>项目负责人执业资格证书、安全生产考核证（B）</w:t>
      </w:r>
      <w:r>
        <w:rPr>
          <w:rStyle w:val="14"/>
          <w:rFonts w:hint="eastAsia" w:cs="Times New Roman"/>
          <w:highlight w:val="white"/>
          <w:lang w:val="en-US" w:eastAsia="zh-CN"/>
        </w:rPr>
        <w:t>复印件</w:t>
      </w:r>
    </w:p>
    <w:p>
      <w:pPr>
        <w:pStyle w:val="64"/>
        <w:bidi w:val="0"/>
        <w:jc w:val="left"/>
        <w:outlineLvl w:val="1"/>
        <w:rPr>
          <w:rStyle w:val="14"/>
        </w:rPr>
      </w:pPr>
      <w:r>
        <w:rPr>
          <w:rStyle w:val="14"/>
          <w:highlight w:val="white"/>
        </w:rPr>
        <w:br w:type="page"/>
      </w:r>
      <w:bookmarkStart w:id="651" w:name="_Toc29232"/>
      <w:r>
        <w:rPr>
          <w:rStyle w:val="14"/>
          <w:highlight w:val="white"/>
        </w:rPr>
        <w:t>八、社会保险证明</w:t>
      </w:r>
      <w:bookmarkEnd w:id="651"/>
    </w:p>
    <w:p>
      <w:pPr>
        <w:pStyle w:val="65"/>
        <w:bidi w:val="0"/>
        <w:rPr>
          <w:rStyle w:val="14"/>
          <w:rFonts w:ascii="Calibri" w:hAnsi="Calibri" w:eastAsia="宋体" w:cs="Times New Roman"/>
        </w:rPr>
      </w:pPr>
    </w:p>
    <w:p>
      <w:pPr>
        <w:pStyle w:val="66"/>
        <w:bidi w:val="0"/>
        <w:ind w:firstLine="480"/>
        <w:rPr>
          <w:rStyle w:val="14"/>
          <w:rFonts w:hint="eastAsia" w:ascii="Calibri" w:hAnsi="Calibri"/>
          <w:sz w:val="24"/>
        </w:rPr>
      </w:pPr>
      <w:r>
        <w:rPr>
          <w:rStyle w:val="14"/>
          <w:rFonts w:hint="eastAsia" w:ascii="Calibri" w:hAnsi="Calibri"/>
          <w:sz w:val="24"/>
          <w:highlight w:val="white"/>
        </w:rPr>
        <w:t>项目负责人社会养老保险或医疗保险信息</w:t>
      </w:r>
    </w:p>
    <w:p>
      <w:pPr>
        <w:pStyle w:val="67"/>
        <w:bidi w:val="0"/>
        <w:jc w:val="left"/>
        <w:outlineLvl w:val="1"/>
        <w:rPr>
          <w:rStyle w:val="14"/>
        </w:rPr>
      </w:pPr>
      <w:r>
        <w:rPr>
          <w:rStyle w:val="14"/>
          <w:highlight w:val="white"/>
        </w:rPr>
        <w:br w:type="page"/>
      </w:r>
      <w:bookmarkStart w:id="652" w:name="_Toc13813"/>
      <w:r>
        <w:rPr>
          <w:rStyle w:val="14"/>
          <w:highlight w:val="white"/>
        </w:rPr>
        <w:t>九、企业信息</w:t>
      </w:r>
      <w:bookmarkEnd w:id="652"/>
    </w:p>
    <w:p>
      <w:pPr>
        <w:pStyle w:val="68"/>
        <w:bidi w:val="0"/>
        <w:spacing w:line="360" w:lineRule="exact"/>
        <w:jc w:val="center"/>
        <w:rPr>
          <w:rStyle w:val="14"/>
          <w:rFonts w:hint="eastAsia" w:ascii="Times New Roman" w:hAnsi="Times New Roman" w:eastAsia="黑体" w:cs="Times New Roman"/>
          <w:sz w:val="24"/>
          <w:szCs w:val="20"/>
        </w:rPr>
      </w:pPr>
    </w:p>
    <w:p>
      <w:pPr>
        <w:pStyle w:val="69"/>
        <w:bidi w:val="0"/>
        <w:jc w:val="left"/>
        <w:outlineLvl w:val="1"/>
        <w:rPr>
          <w:rStyle w:val="14"/>
        </w:rPr>
      </w:pPr>
      <w:r>
        <w:rPr>
          <w:rStyle w:val="14"/>
          <w:highlight w:val="white"/>
        </w:rPr>
        <w:br w:type="page"/>
      </w:r>
      <w:bookmarkStart w:id="653" w:name="_Toc11066"/>
      <w:r>
        <w:rPr>
          <w:rStyle w:val="14"/>
          <w:highlight w:val="white"/>
        </w:rPr>
        <w:t>十、已标价的工程量清单</w:t>
      </w:r>
      <w:bookmarkEnd w:id="653"/>
    </w:p>
    <w:p>
      <w:pPr>
        <w:pStyle w:val="70"/>
        <w:bidi w:val="0"/>
        <w:rPr>
          <w:rStyle w:val="14"/>
          <w:rFonts w:hint="eastAsia" w:ascii="Calibri" w:hAnsi="Calibri" w:eastAsia="宋体" w:cs="Times New Roman"/>
        </w:rPr>
      </w:pPr>
    </w:p>
    <w:p>
      <w:pPr>
        <w:pStyle w:val="71"/>
        <w:bidi w:val="0"/>
        <w:spacing w:line="360" w:lineRule="exact"/>
        <w:ind w:firstLine="357"/>
        <w:rPr>
          <w:rStyle w:val="14"/>
          <w:rFonts w:ascii="Calibri" w:hAnsi="Calibri" w:eastAsia="宋体" w:cs="Times New Roman"/>
        </w:rPr>
      </w:pPr>
      <w:r>
        <w:rPr>
          <w:rStyle w:val="14"/>
          <w:rFonts w:hint="eastAsia" w:ascii="Calibri" w:hAnsi="Calibri" w:eastAsia="宋体" w:cs="Times New Roman"/>
          <w:highlight w:val="white"/>
        </w:rPr>
        <w:t>一、投标报价的编制应符合下列规定：</w:t>
      </w:r>
    </w:p>
    <w:p>
      <w:pPr>
        <w:pStyle w:val="71"/>
        <w:bidi w:val="0"/>
        <w:spacing w:line="360" w:lineRule="exact"/>
        <w:ind w:left="2" w:firstLine="358"/>
        <w:rPr>
          <w:rStyle w:val="14"/>
          <w:rFonts w:ascii="Calibri" w:hAnsi="Calibri" w:eastAsia="宋体" w:cs="Times New Roman"/>
        </w:rPr>
      </w:pPr>
      <w:r>
        <w:rPr>
          <w:rStyle w:val="14"/>
          <w:rFonts w:ascii="Calibri" w:hAnsi="Calibri" w:eastAsia="宋体" w:cs="Times New Roman"/>
          <w:highlight w:val="white"/>
        </w:rPr>
        <w:t xml:space="preserve">   1  </w:t>
      </w:r>
      <w:r>
        <w:rPr>
          <w:rStyle w:val="14"/>
          <w:rFonts w:hint="eastAsia" w:ascii="Calibri" w:hAnsi="Calibri" w:eastAsia="宋体" w:cs="Times New Roman"/>
          <w:highlight w:val="white"/>
        </w:rPr>
        <w:t>使用表格：</w:t>
      </w:r>
    </w:p>
    <w:p>
      <w:pPr>
        <w:pStyle w:val="71"/>
        <w:bidi w:val="0"/>
        <w:spacing w:line="360" w:lineRule="exact"/>
        <w:ind w:left="2" w:firstLine="358"/>
        <w:rPr>
          <w:rStyle w:val="14"/>
          <w:rFonts w:ascii="Calibri" w:hAnsi="Calibri" w:eastAsia="宋体" w:cs="Times New Roman"/>
        </w:rPr>
      </w:pPr>
      <w:r>
        <w:rPr>
          <w:rStyle w:val="14"/>
          <w:rFonts w:ascii="Calibri" w:hAnsi="Calibri" w:eastAsia="宋体" w:cs="Times New Roman"/>
          <w:highlight w:val="white"/>
        </w:rPr>
        <w:t xml:space="preserve">   </w:t>
      </w:r>
      <w:r>
        <w:rPr>
          <w:rStyle w:val="14"/>
          <w:rFonts w:hint="eastAsia" w:ascii="Calibri" w:hAnsi="Calibri" w:eastAsia="宋体" w:cs="Times New Roman"/>
          <w:highlight w:val="white"/>
        </w:rPr>
        <w:t>投标报价使用的表格</w:t>
      </w:r>
      <w:r>
        <w:rPr>
          <w:rStyle w:val="14"/>
          <w:rFonts w:hint="eastAsia" w:ascii="Calibri" w:hAnsi="Calibri" w:eastAsia="宋体" w:cs="Times New Roman"/>
          <w:b/>
          <w:highlight w:val="white"/>
        </w:rPr>
        <w:t>须符合</w:t>
      </w:r>
      <w:r>
        <w:rPr>
          <w:rStyle w:val="14"/>
          <w:rFonts w:ascii="Calibri" w:hAnsi="Calibri" w:eastAsia="宋体" w:cs="Times New Roman"/>
          <w:b/>
          <w:highlight w:val="white"/>
        </w:rPr>
        <w:t>GB50500-2013</w:t>
      </w:r>
      <w:r>
        <w:rPr>
          <w:rStyle w:val="14"/>
          <w:rFonts w:hint="eastAsia" w:ascii="Calibri" w:hAnsi="Calibri" w:eastAsia="宋体" w:cs="Times New Roman"/>
          <w:b/>
          <w:highlight w:val="white"/>
        </w:rPr>
        <w:t>规定要求</w:t>
      </w:r>
      <w:r>
        <w:rPr>
          <w:rStyle w:val="14"/>
          <w:rFonts w:hint="eastAsia" w:ascii="Calibri" w:hAnsi="Calibri" w:eastAsia="宋体" w:cs="Times New Roman"/>
          <w:highlight w:val="white"/>
        </w:rPr>
        <w:t>，包括：封—</w:t>
      </w:r>
      <w:r>
        <w:rPr>
          <w:rStyle w:val="14"/>
          <w:rFonts w:ascii="Calibri" w:hAnsi="Calibri" w:eastAsia="宋体" w:cs="Times New Roman"/>
          <w:highlight w:val="white"/>
        </w:rPr>
        <w:t>3</w:t>
      </w:r>
      <w:r>
        <w:rPr>
          <w:rStyle w:val="14"/>
          <w:rFonts w:hint="eastAsia" w:ascii="Calibri" w:hAnsi="Calibri" w:eastAsia="宋体" w:cs="Times New Roman"/>
          <w:highlight w:val="white"/>
        </w:rPr>
        <w:t>、扉—</w:t>
      </w:r>
      <w:r>
        <w:rPr>
          <w:rStyle w:val="14"/>
          <w:rFonts w:ascii="Calibri" w:hAnsi="Calibri" w:eastAsia="宋体" w:cs="Times New Roman"/>
          <w:highlight w:val="white"/>
        </w:rPr>
        <w:t>3</w:t>
      </w:r>
      <w:r>
        <w:rPr>
          <w:rStyle w:val="14"/>
          <w:rFonts w:hint="eastAsia" w:ascii="Calibri" w:hAnsi="Calibri" w:eastAsia="宋体" w:cs="Times New Roman"/>
          <w:highlight w:val="white"/>
        </w:rPr>
        <w:t>、表—</w:t>
      </w:r>
      <w:r>
        <w:rPr>
          <w:rStyle w:val="14"/>
          <w:rFonts w:ascii="Calibri" w:hAnsi="Calibri" w:eastAsia="宋体" w:cs="Times New Roman"/>
          <w:highlight w:val="white"/>
        </w:rPr>
        <w:t>01</w:t>
      </w:r>
      <w:r>
        <w:rPr>
          <w:rStyle w:val="14"/>
          <w:rFonts w:hint="eastAsia" w:ascii="Calibri" w:hAnsi="Calibri" w:eastAsia="宋体" w:cs="Times New Roman"/>
          <w:highlight w:val="white"/>
        </w:rPr>
        <w:t>、表—</w:t>
      </w:r>
      <w:r>
        <w:rPr>
          <w:rStyle w:val="14"/>
          <w:rFonts w:ascii="Calibri" w:hAnsi="Calibri" w:eastAsia="宋体" w:cs="Times New Roman"/>
          <w:highlight w:val="white"/>
        </w:rPr>
        <w:t>02</w:t>
      </w:r>
      <w:r>
        <w:rPr>
          <w:rStyle w:val="14"/>
          <w:rFonts w:hint="eastAsia" w:ascii="Calibri" w:hAnsi="Calibri" w:eastAsia="宋体" w:cs="Times New Roman"/>
          <w:highlight w:val="white"/>
        </w:rPr>
        <w:t>、表—</w:t>
      </w:r>
      <w:r>
        <w:rPr>
          <w:rStyle w:val="14"/>
          <w:rFonts w:ascii="Calibri" w:hAnsi="Calibri" w:eastAsia="宋体" w:cs="Times New Roman"/>
          <w:highlight w:val="white"/>
        </w:rPr>
        <w:t>03</w:t>
      </w:r>
      <w:r>
        <w:rPr>
          <w:rStyle w:val="14"/>
          <w:rFonts w:hint="eastAsia" w:ascii="Calibri" w:hAnsi="Calibri" w:eastAsia="宋体" w:cs="Times New Roman"/>
          <w:highlight w:val="white"/>
        </w:rPr>
        <w:t>、表—</w:t>
      </w:r>
      <w:r>
        <w:rPr>
          <w:rStyle w:val="14"/>
          <w:rFonts w:ascii="Calibri" w:hAnsi="Calibri" w:eastAsia="宋体" w:cs="Times New Roman"/>
          <w:highlight w:val="white"/>
        </w:rPr>
        <w:t>04</w:t>
      </w:r>
      <w:r>
        <w:rPr>
          <w:rStyle w:val="14"/>
          <w:rFonts w:hint="eastAsia" w:ascii="Calibri" w:hAnsi="Calibri" w:eastAsia="宋体" w:cs="Times New Roman"/>
          <w:highlight w:val="white"/>
        </w:rPr>
        <w:t>、表—</w:t>
      </w:r>
      <w:r>
        <w:rPr>
          <w:rStyle w:val="14"/>
          <w:rFonts w:ascii="Calibri" w:hAnsi="Calibri" w:eastAsia="宋体" w:cs="Times New Roman"/>
          <w:highlight w:val="white"/>
        </w:rPr>
        <w:t>08</w:t>
      </w:r>
      <w:r>
        <w:rPr>
          <w:rStyle w:val="14"/>
          <w:rFonts w:hint="eastAsia" w:ascii="Calibri" w:hAnsi="Calibri" w:eastAsia="宋体" w:cs="Times New Roman"/>
          <w:highlight w:val="white"/>
        </w:rPr>
        <w:t>、表—</w:t>
      </w:r>
      <w:r>
        <w:rPr>
          <w:rStyle w:val="14"/>
          <w:rFonts w:ascii="Calibri" w:hAnsi="Calibri" w:eastAsia="宋体" w:cs="Times New Roman"/>
          <w:highlight w:val="white"/>
        </w:rPr>
        <w:t>09</w:t>
      </w:r>
      <w:r>
        <w:rPr>
          <w:rStyle w:val="14"/>
          <w:rFonts w:hint="eastAsia" w:ascii="Calibri" w:hAnsi="Calibri" w:eastAsia="宋体" w:cs="Times New Roman"/>
          <w:highlight w:val="white"/>
        </w:rPr>
        <w:t>、表—</w:t>
      </w:r>
      <w:r>
        <w:rPr>
          <w:rStyle w:val="14"/>
          <w:rFonts w:ascii="Calibri" w:hAnsi="Calibri" w:eastAsia="宋体" w:cs="Times New Roman"/>
          <w:highlight w:val="white"/>
        </w:rPr>
        <w:t>11</w:t>
      </w:r>
      <w:r>
        <w:rPr>
          <w:rStyle w:val="14"/>
          <w:rFonts w:hint="eastAsia" w:ascii="Calibri" w:hAnsi="Calibri" w:eastAsia="宋体" w:cs="Times New Roman"/>
          <w:highlight w:val="white"/>
        </w:rPr>
        <w:t>、表—</w:t>
      </w:r>
      <w:r>
        <w:rPr>
          <w:rStyle w:val="14"/>
          <w:rFonts w:ascii="Calibri" w:hAnsi="Calibri" w:eastAsia="宋体" w:cs="Times New Roman"/>
          <w:highlight w:val="white"/>
        </w:rPr>
        <w:t>12</w:t>
      </w:r>
      <w:r>
        <w:rPr>
          <w:rStyle w:val="14"/>
          <w:rFonts w:hint="eastAsia" w:ascii="Calibri" w:hAnsi="Calibri" w:eastAsia="宋体" w:cs="Times New Roman"/>
          <w:highlight w:val="white"/>
        </w:rPr>
        <w:t>（含表—</w:t>
      </w:r>
      <w:r>
        <w:rPr>
          <w:rStyle w:val="14"/>
          <w:rFonts w:ascii="Calibri" w:hAnsi="Calibri" w:eastAsia="宋体" w:cs="Times New Roman"/>
          <w:highlight w:val="white"/>
        </w:rPr>
        <w:t>12</w:t>
      </w:r>
      <w:r>
        <w:rPr>
          <w:rStyle w:val="14"/>
          <w:rFonts w:hint="eastAsia" w:ascii="Calibri" w:hAnsi="Calibri" w:eastAsia="宋体" w:cs="Times New Roman"/>
          <w:highlight w:val="white"/>
        </w:rPr>
        <w:t>—</w:t>
      </w:r>
      <w:r>
        <w:rPr>
          <w:rStyle w:val="14"/>
          <w:rFonts w:ascii="Calibri" w:hAnsi="Calibri" w:eastAsia="宋体" w:cs="Times New Roman"/>
          <w:highlight w:val="white"/>
        </w:rPr>
        <w:t>1</w:t>
      </w:r>
      <w:r>
        <w:rPr>
          <w:rStyle w:val="14"/>
          <w:rFonts w:hint="eastAsia" w:ascii="Calibri" w:hAnsi="Calibri" w:eastAsia="宋体" w:cs="Times New Roman"/>
          <w:highlight w:val="white"/>
        </w:rPr>
        <w:t>～表—</w:t>
      </w:r>
      <w:r>
        <w:rPr>
          <w:rStyle w:val="14"/>
          <w:rFonts w:ascii="Calibri" w:hAnsi="Calibri" w:eastAsia="宋体" w:cs="Times New Roman"/>
          <w:highlight w:val="white"/>
        </w:rPr>
        <w:t>12</w:t>
      </w:r>
      <w:r>
        <w:rPr>
          <w:rStyle w:val="14"/>
          <w:rFonts w:hint="eastAsia" w:ascii="Calibri" w:hAnsi="Calibri" w:eastAsia="宋体" w:cs="Times New Roman"/>
          <w:highlight w:val="white"/>
        </w:rPr>
        <w:t>—</w:t>
      </w:r>
      <w:r>
        <w:rPr>
          <w:rStyle w:val="14"/>
          <w:rFonts w:ascii="Calibri" w:hAnsi="Calibri" w:eastAsia="宋体" w:cs="Times New Roman"/>
          <w:highlight w:val="white"/>
        </w:rPr>
        <w:t>5</w:t>
      </w:r>
      <w:r>
        <w:rPr>
          <w:rStyle w:val="14"/>
          <w:rFonts w:hint="eastAsia" w:ascii="Calibri" w:hAnsi="Calibri" w:eastAsia="宋体" w:cs="Times New Roman"/>
          <w:highlight w:val="white"/>
        </w:rPr>
        <w:t>）、表—</w:t>
      </w:r>
      <w:r>
        <w:rPr>
          <w:rStyle w:val="14"/>
          <w:rFonts w:ascii="Calibri" w:hAnsi="Calibri" w:eastAsia="宋体" w:cs="Times New Roman"/>
          <w:highlight w:val="white"/>
        </w:rPr>
        <w:t>13</w:t>
      </w:r>
      <w:r>
        <w:rPr>
          <w:rStyle w:val="14"/>
          <w:rFonts w:hint="eastAsia" w:ascii="Calibri" w:hAnsi="Calibri" w:eastAsia="宋体" w:cs="Times New Roman"/>
          <w:highlight w:val="white"/>
        </w:rPr>
        <w:t>、表—</w:t>
      </w:r>
      <w:r>
        <w:rPr>
          <w:rStyle w:val="14"/>
          <w:rFonts w:ascii="Calibri" w:hAnsi="Calibri" w:eastAsia="宋体" w:cs="Times New Roman"/>
          <w:highlight w:val="white"/>
        </w:rPr>
        <w:t>16</w:t>
      </w:r>
      <w:r>
        <w:rPr>
          <w:rStyle w:val="14"/>
          <w:rFonts w:hint="eastAsia" w:ascii="Calibri" w:hAnsi="Calibri" w:eastAsia="宋体" w:cs="Times New Roman"/>
          <w:highlight w:val="white"/>
        </w:rPr>
        <w:t>、表—</w:t>
      </w:r>
      <w:r>
        <w:rPr>
          <w:rStyle w:val="14"/>
          <w:rFonts w:ascii="Calibri" w:hAnsi="Calibri" w:eastAsia="宋体" w:cs="Times New Roman"/>
          <w:highlight w:val="white"/>
        </w:rPr>
        <w:t>20</w:t>
      </w:r>
      <w:r>
        <w:rPr>
          <w:rStyle w:val="14"/>
          <w:rFonts w:hint="eastAsia" w:ascii="Calibri" w:hAnsi="Calibri" w:eastAsia="宋体" w:cs="Times New Roman"/>
          <w:highlight w:val="white"/>
        </w:rPr>
        <w:t>、表—</w:t>
      </w:r>
      <w:r>
        <w:rPr>
          <w:rStyle w:val="14"/>
          <w:rFonts w:ascii="Calibri" w:hAnsi="Calibri" w:eastAsia="宋体" w:cs="Times New Roman"/>
          <w:highlight w:val="white"/>
        </w:rPr>
        <w:t>21</w:t>
      </w:r>
      <w:r>
        <w:rPr>
          <w:rStyle w:val="14"/>
          <w:rFonts w:hint="eastAsia" w:ascii="Calibri" w:hAnsi="Calibri" w:eastAsia="宋体" w:cs="Times New Roman"/>
          <w:highlight w:val="white"/>
        </w:rPr>
        <w:t>或表—</w:t>
      </w:r>
      <w:r>
        <w:rPr>
          <w:rStyle w:val="14"/>
          <w:rFonts w:ascii="Calibri" w:hAnsi="Calibri" w:eastAsia="宋体" w:cs="Times New Roman"/>
          <w:highlight w:val="white"/>
        </w:rPr>
        <w:t>22</w:t>
      </w:r>
      <w:r>
        <w:rPr>
          <w:rStyle w:val="14"/>
          <w:rFonts w:hint="eastAsia" w:ascii="Calibri" w:hAnsi="Calibri" w:eastAsia="宋体" w:cs="Times New Roman"/>
          <w:highlight w:val="white"/>
        </w:rPr>
        <w:t>。</w:t>
      </w:r>
    </w:p>
    <w:p>
      <w:pPr>
        <w:pStyle w:val="71"/>
        <w:bidi w:val="0"/>
        <w:spacing w:line="360" w:lineRule="exact"/>
        <w:ind w:left="2" w:firstLine="358"/>
        <w:rPr>
          <w:rStyle w:val="14"/>
          <w:rFonts w:ascii="Calibri" w:hAnsi="Calibri" w:eastAsia="宋体" w:cs="Times New Roman"/>
        </w:rPr>
      </w:pPr>
      <w:r>
        <w:rPr>
          <w:rStyle w:val="14"/>
          <w:rFonts w:ascii="Calibri" w:hAnsi="Calibri" w:eastAsia="宋体" w:cs="Times New Roman"/>
          <w:highlight w:val="white"/>
        </w:rPr>
        <w:t xml:space="preserve">   2  </w:t>
      </w:r>
      <w:r>
        <w:rPr>
          <w:rStyle w:val="14"/>
          <w:rFonts w:hint="eastAsia" w:ascii="Calibri" w:hAnsi="Calibri" w:eastAsia="宋体" w:cs="Times New Roman"/>
          <w:highlight w:val="white"/>
        </w:rPr>
        <w:t>封面应按规定的内容填写、签字、盖章。</w:t>
      </w:r>
    </w:p>
    <w:p>
      <w:pPr>
        <w:pStyle w:val="71"/>
        <w:bidi w:val="0"/>
        <w:spacing w:line="360" w:lineRule="exact"/>
        <w:ind w:left="2" w:firstLine="358"/>
        <w:rPr>
          <w:rStyle w:val="14"/>
          <w:rFonts w:ascii="Calibri" w:hAnsi="Calibri" w:eastAsia="宋体" w:cs="Times New Roman"/>
        </w:rPr>
      </w:pPr>
      <w:r>
        <w:rPr>
          <w:rStyle w:val="14"/>
          <w:rFonts w:ascii="Calibri" w:hAnsi="Calibri" w:eastAsia="宋体" w:cs="Times New Roman"/>
          <w:highlight w:val="white"/>
        </w:rPr>
        <w:t xml:space="preserve">   3  </w:t>
      </w:r>
      <w:r>
        <w:rPr>
          <w:rStyle w:val="14"/>
          <w:rFonts w:hint="eastAsia" w:ascii="Calibri" w:hAnsi="Calibri" w:eastAsia="宋体" w:cs="Times New Roman"/>
          <w:highlight w:val="white"/>
        </w:rPr>
        <w:t>总说明应按下列内容填写：</w:t>
      </w:r>
    </w:p>
    <w:p>
      <w:pPr>
        <w:pStyle w:val="71"/>
        <w:bidi w:val="0"/>
        <w:spacing w:line="360" w:lineRule="exact"/>
        <w:ind w:left="2" w:firstLine="358"/>
        <w:rPr>
          <w:rStyle w:val="14"/>
          <w:rFonts w:ascii="Calibri" w:hAnsi="Calibri" w:eastAsia="宋体" w:cs="Times New Roman"/>
        </w:rPr>
      </w:pPr>
      <w:r>
        <w:rPr>
          <w:rStyle w:val="14"/>
          <w:rFonts w:ascii="Calibri" w:hAnsi="Calibri" w:eastAsia="宋体" w:cs="Times New Roman"/>
          <w:highlight w:val="white"/>
        </w:rPr>
        <w:t xml:space="preserve">      1</w:t>
      </w:r>
      <w:r>
        <w:rPr>
          <w:rStyle w:val="14"/>
          <w:rFonts w:hint="eastAsia" w:ascii="Calibri" w:hAnsi="Calibri" w:eastAsia="宋体" w:cs="Times New Roman"/>
          <w:highlight w:val="white"/>
        </w:rPr>
        <w:t>）工程概况：建设规模、工程特征、计划工期、合同工期、实际工期、施工现场及变化情况、施工组织设计的特点、自然地理条件、环境保护要求等。</w:t>
      </w:r>
    </w:p>
    <w:p>
      <w:pPr>
        <w:pStyle w:val="71"/>
        <w:bidi w:val="0"/>
        <w:spacing w:line="360" w:lineRule="exact"/>
        <w:ind w:left="2" w:firstLine="358"/>
        <w:rPr>
          <w:rStyle w:val="14"/>
          <w:rFonts w:ascii="Calibri" w:hAnsi="Calibri" w:eastAsia="宋体" w:cs="Times New Roman"/>
        </w:rPr>
      </w:pPr>
      <w:r>
        <w:rPr>
          <w:rStyle w:val="14"/>
          <w:rFonts w:ascii="Calibri" w:hAnsi="Calibri" w:eastAsia="宋体" w:cs="Times New Roman"/>
          <w:highlight w:val="white"/>
        </w:rPr>
        <w:t xml:space="preserve">      2</w:t>
      </w:r>
      <w:r>
        <w:rPr>
          <w:rStyle w:val="14"/>
          <w:rFonts w:hint="eastAsia" w:ascii="Calibri" w:hAnsi="Calibri" w:eastAsia="宋体" w:cs="Times New Roman"/>
          <w:highlight w:val="white"/>
        </w:rPr>
        <w:t>）编制依据等。</w:t>
      </w:r>
    </w:p>
    <w:p>
      <w:pPr>
        <w:pStyle w:val="71"/>
        <w:bidi w:val="0"/>
        <w:spacing w:line="360" w:lineRule="exact"/>
        <w:ind w:firstLine="357"/>
        <w:rPr>
          <w:rStyle w:val="14"/>
          <w:rFonts w:ascii="Calibri" w:hAnsi="Calibri" w:eastAsia="宋体" w:cs="Times New Roman"/>
        </w:rPr>
      </w:pPr>
      <w:r>
        <w:rPr>
          <w:rStyle w:val="14"/>
          <w:rFonts w:hint="eastAsia" w:ascii="Calibri" w:hAnsi="Calibri" w:eastAsia="宋体" w:cs="Times New Roman"/>
          <w:highlight w:val="white"/>
        </w:rPr>
        <w:t>二、投标人应按照招标文件的要求，附综合单价分析表。</w:t>
      </w:r>
    </w:p>
    <w:p>
      <w:pPr>
        <w:pStyle w:val="71"/>
        <w:bidi w:val="0"/>
        <w:rPr>
          <w:rStyle w:val="14"/>
          <w:rFonts w:ascii="Calibri" w:hAnsi="Calibri" w:eastAsia="宋体" w:cs="Times New Roman"/>
        </w:rPr>
      </w:pPr>
      <w:r>
        <w:rPr>
          <w:rStyle w:val="14"/>
          <w:rFonts w:ascii="Calibri" w:hAnsi="Calibri" w:eastAsia="宋体" w:cs="Times New Roman"/>
          <w:highlight w:val="white"/>
        </w:rPr>
        <w:br w:type="column"/>
      </w:r>
    </w:p>
    <w:tbl>
      <w:tblPr>
        <w:tblStyle w:val="13"/>
        <w:tblW w:w="9308" w:type="dxa"/>
        <w:tblInd w:w="93" w:type="dxa"/>
        <w:tblLayout w:type="autofit"/>
        <w:tblCellMar>
          <w:top w:w="0" w:type="dxa"/>
          <w:left w:w="108" w:type="dxa"/>
          <w:bottom w:w="0" w:type="dxa"/>
          <w:right w:w="108" w:type="dxa"/>
        </w:tblCellMar>
      </w:tblPr>
      <w:tblGrid>
        <w:gridCol w:w="2371"/>
        <w:gridCol w:w="251"/>
        <w:gridCol w:w="1831"/>
        <w:gridCol w:w="3454"/>
        <w:gridCol w:w="124"/>
        <w:gridCol w:w="1277"/>
      </w:tblGrid>
      <w:tr>
        <w:tblPrEx>
          <w:tblCellMar>
            <w:top w:w="0" w:type="dxa"/>
            <w:left w:w="108" w:type="dxa"/>
            <w:bottom w:w="0" w:type="dxa"/>
            <w:right w:w="108" w:type="dxa"/>
          </w:tblCellMar>
        </w:tblPrEx>
        <w:trPr>
          <w:trHeight w:val="665" w:hRule="atLeast"/>
        </w:trPr>
        <w:tc>
          <w:tcPr>
            <w:tcW w:w="2622" w:type="dxa"/>
            <w:gridSpan w:val="2"/>
            <w:shd w:val="clear" w:color="auto" w:fill="FFFFFF"/>
            <w:noWrap w:val="0"/>
            <w:vAlign w:val="center"/>
          </w:tcPr>
          <w:p>
            <w:pPr>
              <w:pStyle w:val="71"/>
              <w:widowControl/>
              <w:bidi w:val="0"/>
              <w:jc w:val="left"/>
              <w:rPr>
                <w:rStyle w:val="14"/>
                <w:rFonts w:ascii="宋体" w:hAnsi="宋体" w:eastAsia="宋体" w:cs="宋体"/>
                <w:kern w:val="0"/>
                <w:sz w:val="18"/>
                <w:szCs w:val="18"/>
                <w:lang w:val="en-US" w:eastAsia="zh-CN" w:bidi="ar-SA"/>
              </w:rPr>
            </w:pPr>
            <w:r>
              <w:rPr>
                <w:rStyle w:val="14"/>
                <w:rFonts w:hint="eastAsia" w:ascii="宋体" w:hAnsi="宋体" w:eastAsia="宋体" w:cs="宋体"/>
                <w:kern w:val="0"/>
                <w:sz w:val="18"/>
                <w:szCs w:val="18"/>
                <w:highlight w:val="white"/>
                <w:lang w:val="en-US" w:eastAsia="zh-CN" w:bidi="ar-SA"/>
              </w:rPr>
              <w:t>　</w:t>
            </w:r>
          </w:p>
        </w:tc>
        <w:tc>
          <w:tcPr>
            <w:tcW w:w="5285" w:type="dxa"/>
            <w:gridSpan w:val="2"/>
            <w:tcBorders>
              <w:top w:val="nil"/>
              <w:left w:val="nil"/>
              <w:bottom w:val="single" w:color="000000" w:sz="4" w:space="0"/>
              <w:right w:val="nil"/>
            </w:tcBorders>
            <w:shd w:val="clear" w:color="auto" w:fill="FFFFFF"/>
            <w:noWrap w:val="0"/>
            <w:vAlign w:val="center"/>
          </w:tcPr>
          <w:p>
            <w:pPr>
              <w:pStyle w:val="71"/>
              <w:widowControl/>
              <w:bidi w:val="0"/>
              <w:jc w:val="center"/>
              <w:rPr>
                <w:rStyle w:val="14"/>
                <w:rFonts w:ascii="宋体" w:hAnsi="宋体" w:eastAsia="宋体" w:cs="宋体"/>
                <w:kern w:val="0"/>
                <w:sz w:val="36"/>
                <w:szCs w:val="36"/>
                <w:lang w:val="en-US" w:eastAsia="zh-CN" w:bidi="ar-SA"/>
              </w:rPr>
            </w:pPr>
            <w:r>
              <w:rPr>
                <w:rStyle w:val="14"/>
                <w:rFonts w:hint="eastAsia" w:ascii="宋体" w:hAnsi="宋体" w:eastAsia="宋体" w:cs="宋体"/>
                <w:kern w:val="0"/>
                <w:sz w:val="36"/>
                <w:szCs w:val="36"/>
                <w:highlight w:val="white"/>
                <w:lang w:val="en-US" w:eastAsia="zh-CN" w:bidi="ar-SA"/>
              </w:rPr>
              <w:t>　</w:t>
            </w:r>
          </w:p>
        </w:tc>
        <w:tc>
          <w:tcPr>
            <w:tcW w:w="1401" w:type="dxa"/>
            <w:gridSpan w:val="2"/>
            <w:shd w:val="clear" w:color="auto" w:fill="FFFFFF"/>
            <w:noWrap w:val="0"/>
            <w:vAlign w:val="center"/>
          </w:tcPr>
          <w:p>
            <w:pPr>
              <w:pStyle w:val="71"/>
              <w:widowControl/>
              <w:bidi w:val="0"/>
              <w:jc w:val="left"/>
              <w:rPr>
                <w:rStyle w:val="14"/>
                <w:rFonts w:ascii="宋体" w:hAnsi="宋体" w:eastAsia="宋体" w:cs="宋体"/>
                <w:b/>
                <w:bCs/>
                <w:kern w:val="0"/>
                <w:sz w:val="36"/>
                <w:szCs w:val="36"/>
                <w:lang w:val="en-US" w:eastAsia="zh-CN" w:bidi="ar-SA"/>
              </w:rPr>
            </w:pPr>
            <w:r>
              <w:rPr>
                <w:rStyle w:val="14"/>
                <w:rFonts w:hint="eastAsia" w:ascii="宋体" w:hAnsi="宋体" w:eastAsia="宋体" w:cs="宋体"/>
                <w:b/>
                <w:bCs/>
                <w:kern w:val="0"/>
                <w:sz w:val="36"/>
                <w:szCs w:val="36"/>
                <w:highlight w:val="white"/>
                <w:lang w:val="en-US" w:eastAsia="zh-CN" w:bidi="ar-SA"/>
              </w:rPr>
              <w:t>工程</w:t>
            </w:r>
          </w:p>
        </w:tc>
      </w:tr>
      <w:tr>
        <w:tblPrEx>
          <w:tblCellMar>
            <w:top w:w="0" w:type="dxa"/>
            <w:left w:w="108" w:type="dxa"/>
            <w:bottom w:w="0" w:type="dxa"/>
            <w:right w:w="108" w:type="dxa"/>
          </w:tblCellMar>
        </w:tblPrEx>
        <w:trPr>
          <w:trHeight w:val="2421" w:hRule="atLeast"/>
        </w:trPr>
        <w:tc>
          <w:tcPr>
            <w:tcW w:w="9308" w:type="dxa"/>
            <w:gridSpan w:val="6"/>
            <w:shd w:val="clear" w:color="auto" w:fill="FFFFFF"/>
            <w:noWrap w:val="0"/>
            <w:vAlign w:val="bottom"/>
          </w:tcPr>
          <w:p>
            <w:pPr>
              <w:pStyle w:val="71"/>
              <w:widowControl/>
              <w:bidi w:val="0"/>
              <w:jc w:val="center"/>
              <w:rPr>
                <w:rStyle w:val="14"/>
                <w:rFonts w:ascii="宋体" w:hAnsi="宋体" w:eastAsia="宋体" w:cs="宋体"/>
                <w:b/>
                <w:bCs/>
                <w:kern w:val="0"/>
                <w:sz w:val="44"/>
                <w:szCs w:val="44"/>
                <w:lang w:val="en-US" w:eastAsia="zh-CN" w:bidi="ar-SA"/>
              </w:rPr>
            </w:pPr>
            <w:r>
              <w:rPr>
                <w:rStyle w:val="14"/>
                <w:rFonts w:hint="eastAsia" w:ascii="宋体" w:hAnsi="宋体" w:eastAsia="宋体" w:cs="宋体"/>
                <w:b/>
                <w:bCs/>
                <w:kern w:val="0"/>
                <w:sz w:val="44"/>
                <w:szCs w:val="44"/>
                <w:highlight w:val="white"/>
                <w:lang w:val="en-US" w:eastAsia="zh-CN" w:bidi="ar-SA"/>
              </w:rPr>
              <w:t>投标总价</w:t>
            </w:r>
          </w:p>
        </w:tc>
      </w:tr>
      <w:tr>
        <w:tblPrEx>
          <w:tblCellMar>
            <w:top w:w="0" w:type="dxa"/>
            <w:left w:w="108" w:type="dxa"/>
            <w:bottom w:w="0" w:type="dxa"/>
            <w:right w:w="108" w:type="dxa"/>
          </w:tblCellMar>
        </w:tblPrEx>
        <w:trPr>
          <w:trHeight w:val="2125" w:hRule="atLeast"/>
        </w:trPr>
        <w:tc>
          <w:tcPr>
            <w:tcW w:w="2371" w:type="dxa"/>
            <w:shd w:val="clear" w:color="auto" w:fill="FFFFFF"/>
            <w:noWrap w:val="0"/>
            <w:vAlign w:val="bottom"/>
          </w:tcPr>
          <w:p>
            <w:pPr>
              <w:pStyle w:val="71"/>
              <w:widowControl/>
              <w:bidi w:val="0"/>
              <w:jc w:val="left"/>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c>
          <w:tcPr>
            <w:tcW w:w="2082" w:type="dxa"/>
            <w:gridSpan w:val="2"/>
            <w:shd w:val="clear" w:color="auto" w:fill="FFFFFF"/>
            <w:noWrap w:val="0"/>
            <w:vAlign w:val="bottom"/>
          </w:tcPr>
          <w:p>
            <w:pPr>
              <w:pStyle w:val="71"/>
              <w:widowControl/>
              <w:bidi w:val="0"/>
              <w:jc w:val="right"/>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投  标  人：</w:t>
            </w:r>
          </w:p>
        </w:tc>
        <w:tc>
          <w:tcPr>
            <w:tcW w:w="3578" w:type="dxa"/>
            <w:gridSpan w:val="2"/>
            <w:tcBorders>
              <w:top w:val="nil"/>
              <w:left w:val="nil"/>
              <w:bottom w:val="single" w:color="000000" w:sz="4" w:space="0"/>
              <w:right w:val="nil"/>
            </w:tcBorders>
            <w:shd w:val="clear" w:color="auto" w:fill="FFFFFF"/>
            <w:noWrap w:val="0"/>
            <w:vAlign w:val="bottom"/>
          </w:tcPr>
          <w:p>
            <w:pPr>
              <w:pStyle w:val="71"/>
              <w:widowControl/>
              <w:bidi w:val="0"/>
              <w:jc w:val="center"/>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c>
          <w:tcPr>
            <w:tcW w:w="1277" w:type="dxa"/>
            <w:shd w:val="clear" w:color="auto" w:fill="FFFFFF"/>
            <w:noWrap w:val="0"/>
            <w:vAlign w:val="bottom"/>
          </w:tcPr>
          <w:p>
            <w:pPr>
              <w:pStyle w:val="71"/>
              <w:widowControl/>
              <w:bidi w:val="0"/>
              <w:jc w:val="left"/>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r>
      <w:tr>
        <w:tblPrEx>
          <w:tblCellMar>
            <w:top w:w="0" w:type="dxa"/>
            <w:left w:w="108" w:type="dxa"/>
            <w:bottom w:w="0" w:type="dxa"/>
            <w:right w:w="108" w:type="dxa"/>
          </w:tblCellMar>
        </w:tblPrEx>
        <w:trPr>
          <w:trHeight w:val="462" w:hRule="atLeast"/>
        </w:trPr>
        <w:tc>
          <w:tcPr>
            <w:tcW w:w="4453" w:type="dxa"/>
            <w:gridSpan w:val="3"/>
            <w:vMerge w:val="restart"/>
            <w:shd w:val="clear" w:color="auto" w:fill="FFFFFF"/>
            <w:noWrap w:val="0"/>
            <w:vAlign w:val="bottom"/>
          </w:tcPr>
          <w:p>
            <w:pPr>
              <w:pStyle w:val="71"/>
              <w:widowControl/>
              <w:bidi w:val="0"/>
              <w:jc w:val="left"/>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c>
          <w:tcPr>
            <w:tcW w:w="3578" w:type="dxa"/>
            <w:gridSpan w:val="2"/>
            <w:tcBorders>
              <w:top w:val="single" w:color="000000" w:sz="4" w:space="0"/>
              <w:left w:val="nil"/>
              <w:bottom w:val="nil"/>
              <w:right w:val="nil"/>
            </w:tcBorders>
            <w:shd w:val="clear" w:color="auto" w:fill="FFFFFF"/>
            <w:noWrap w:val="0"/>
            <w:vAlign w:val="bottom"/>
          </w:tcPr>
          <w:p>
            <w:pPr>
              <w:pStyle w:val="71"/>
              <w:widowControl/>
              <w:bidi w:val="0"/>
              <w:jc w:val="center"/>
              <w:rPr>
                <w:rStyle w:val="14"/>
                <w:rFonts w:ascii="宋体" w:hAnsi="宋体" w:eastAsia="宋体" w:cs="宋体"/>
                <w:kern w:val="0"/>
                <w:sz w:val="20"/>
                <w:szCs w:val="22"/>
                <w:lang w:val="en-US" w:eastAsia="zh-CN" w:bidi="ar-SA"/>
              </w:rPr>
            </w:pPr>
            <w:r>
              <w:rPr>
                <w:rStyle w:val="14"/>
                <w:rFonts w:hint="eastAsia" w:ascii="宋体" w:hAnsi="宋体" w:eastAsia="宋体" w:cs="宋体"/>
                <w:kern w:val="0"/>
                <w:sz w:val="20"/>
                <w:szCs w:val="22"/>
                <w:highlight w:val="white"/>
                <w:lang w:val="en-US" w:eastAsia="zh-CN" w:bidi="ar-SA"/>
              </w:rPr>
              <w:t>(单位盖章)</w:t>
            </w:r>
          </w:p>
        </w:tc>
        <w:tc>
          <w:tcPr>
            <w:tcW w:w="1277" w:type="dxa"/>
            <w:vMerge w:val="restart"/>
            <w:shd w:val="clear" w:color="auto" w:fill="FFFFFF"/>
            <w:noWrap w:val="0"/>
            <w:vAlign w:val="center"/>
          </w:tcPr>
          <w:p>
            <w:pPr>
              <w:pStyle w:val="71"/>
              <w:widowControl/>
              <w:bidi w:val="0"/>
              <w:jc w:val="center"/>
              <w:rPr>
                <w:rStyle w:val="14"/>
                <w:rFonts w:ascii="宋体" w:hAnsi="宋体" w:eastAsia="宋体" w:cs="宋体"/>
                <w:kern w:val="0"/>
                <w:sz w:val="18"/>
                <w:szCs w:val="18"/>
                <w:lang w:val="en-US" w:eastAsia="zh-CN" w:bidi="ar-SA"/>
              </w:rPr>
            </w:pPr>
            <w:r>
              <w:rPr>
                <w:rStyle w:val="14"/>
                <w:rFonts w:hint="eastAsia" w:ascii="宋体" w:hAnsi="宋体" w:eastAsia="宋体" w:cs="宋体"/>
                <w:kern w:val="0"/>
                <w:sz w:val="18"/>
                <w:szCs w:val="18"/>
                <w:highlight w:val="white"/>
                <w:lang w:val="en-US" w:eastAsia="zh-CN" w:bidi="ar-SA"/>
              </w:rPr>
              <w:t>　</w:t>
            </w:r>
          </w:p>
        </w:tc>
      </w:tr>
      <w:tr>
        <w:tblPrEx>
          <w:tblCellMar>
            <w:top w:w="0" w:type="dxa"/>
            <w:left w:w="108" w:type="dxa"/>
            <w:bottom w:w="0" w:type="dxa"/>
            <w:right w:w="108" w:type="dxa"/>
          </w:tblCellMar>
        </w:tblPrEx>
        <w:trPr>
          <w:trHeight w:val="2955" w:hRule="atLeast"/>
        </w:trPr>
        <w:tc>
          <w:tcPr>
            <w:tcW w:w="0" w:type="auto"/>
            <w:gridSpan w:val="3"/>
            <w:vMerge w:val="continue"/>
            <w:shd w:val="clear" w:color="auto" w:fill="auto"/>
            <w:noWrap w:val="0"/>
            <w:vAlign w:val="center"/>
          </w:tcPr>
          <w:p>
            <w:pPr>
              <w:pStyle w:val="71"/>
              <w:widowControl/>
              <w:bidi w:val="0"/>
              <w:jc w:val="left"/>
              <w:rPr>
                <w:rStyle w:val="14"/>
                <w:rFonts w:ascii="宋体" w:hAnsi="宋体" w:eastAsia="宋体" w:cs="宋体"/>
                <w:kern w:val="0"/>
                <w:sz w:val="24"/>
                <w:szCs w:val="22"/>
                <w:lang w:val="en-US" w:eastAsia="zh-CN" w:bidi="ar-SA"/>
              </w:rPr>
            </w:pPr>
          </w:p>
        </w:tc>
        <w:tc>
          <w:tcPr>
            <w:tcW w:w="3578" w:type="dxa"/>
            <w:gridSpan w:val="2"/>
            <w:shd w:val="clear" w:color="auto" w:fill="FFFFFF"/>
            <w:noWrap w:val="0"/>
            <w:vAlign w:val="bottom"/>
          </w:tcPr>
          <w:p>
            <w:pPr>
              <w:pStyle w:val="71"/>
              <w:widowControl/>
              <w:bidi w:val="0"/>
              <w:jc w:val="center"/>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xml:space="preserve">  年   月   日</w:t>
            </w:r>
          </w:p>
        </w:tc>
        <w:tc>
          <w:tcPr>
            <w:tcW w:w="0" w:type="auto"/>
            <w:vMerge w:val="continue"/>
            <w:noWrap w:val="0"/>
            <w:vAlign w:val="center"/>
          </w:tcPr>
          <w:p>
            <w:pPr>
              <w:pStyle w:val="71"/>
              <w:widowControl/>
              <w:bidi w:val="0"/>
              <w:jc w:val="left"/>
              <w:rPr>
                <w:rStyle w:val="14"/>
                <w:rFonts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369" w:hRule="atLeast"/>
        </w:trPr>
        <w:tc>
          <w:tcPr>
            <w:tcW w:w="2622" w:type="dxa"/>
            <w:gridSpan w:val="2"/>
            <w:shd w:val="clear" w:color="auto" w:fill="FFFFFF"/>
            <w:noWrap w:val="0"/>
            <w:vAlign w:val="center"/>
          </w:tcPr>
          <w:p>
            <w:pPr>
              <w:pStyle w:val="71"/>
              <w:widowControl/>
              <w:bidi w:val="0"/>
              <w:jc w:val="left"/>
              <w:rPr>
                <w:rStyle w:val="14"/>
                <w:rFonts w:ascii="宋体" w:hAnsi="宋体" w:eastAsia="宋体" w:cs="宋体"/>
                <w:kern w:val="0"/>
                <w:sz w:val="18"/>
                <w:szCs w:val="18"/>
                <w:lang w:val="en-US" w:eastAsia="zh-CN" w:bidi="ar-SA"/>
              </w:rPr>
            </w:pPr>
            <w:r>
              <w:rPr>
                <w:rStyle w:val="14"/>
                <w:rFonts w:hint="eastAsia" w:ascii="宋体" w:hAnsi="宋体" w:eastAsia="宋体" w:cs="宋体"/>
                <w:kern w:val="0"/>
                <w:sz w:val="18"/>
                <w:szCs w:val="18"/>
                <w:highlight w:val="white"/>
                <w:lang w:val="en-US" w:eastAsia="zh-CN" w:bidi="ar-SA"/>
              </w:rPr>
              <w:t>　</w:t>
            </w:r>
          </w:p>
        </w:tc>
        <w:tc>
          <w:tcPr>
            <w:tcW w:w="5285" w:type="dxa"/>
            <w:gridSpan w:val="2"/>
            <w:shd w:val="clear" w:color="auto" w:fill="FFFFFF"/>
            <w:noWrap w:val="0"/>
            <w:vAlign w:val="center"/>
          </w:tcPr>
          <w:p>
            <w:pPr>
              <w:pStyle w:val="71"/>
              <w:widowControl/>
              <w:bidi w:val="0"/>
              <w:jc w:val="center"/>
              <w:rPr>
                <w:rStyle w:val="14"/>
                <w:rFonts w:ascii="宋体" w:hAnsi="宋体" w:eastAsia="宋体" w:cs="宋体"/>
                <w:kern w:val="0"/>
                <w:sz w:val="18"/>
                <w:szCs w:val="18"/>
                <w:lang w:val="en-US" w:eastAsia="zh-CN" w:bidi="ar-SA"/>
              </w:rPr>
            </w:pPr>
            <w:r>
              <w:rPr>
                <w:rStyle w:val="14"/>
                <w:rFonts w:hint="eastAsia" w:ascii="宋体" w:hAnsi="宋体" w:eastAsia="宋体" w:cs="宋体"/>
                <w:kern w:val="0"/>
                <w:sz w:val="18"/>
                <w:szCs w:val="18"/>
                <w:highlight w:val="white"/>
                <w:lang w:val="en-US" w:eastAsia="zh-CN" w:bidi="ar-SA"/>
              </w:rPr>
              <w:t>　</w:t>
            </w:r>
          </w:p>
        </w:tc>
        <w:tc>
          <w:tcPr>
            <w:tcW w:w="1401" w:type="dxa"/>
            <w:gridSpan w:val="2"/>
            <w:shd w:val="clear" w:color="auto" w:fill="FFFFFF"/>
            <w:noWrap w:val="0"/>
            <w:vAlign w:val="center"/>
          </w:tcPr>
          <w:p>
            <w:pPr>
              <w:pStyle w:val="71"/>
              <w:widowControl/>
              <w:bidi w:val="0"/>
              <w:jc w:val="right"/>
              <w:rPr>
                <w:rStyle w:val="14"/>
                <w:rFonts w:ascii="宋体" w:hAnsi="宋体" w:eastAsia="宋体" w:cs="宋体"/>
                <w:kern w:val="0"/>
                <w:sz w:val="18"/>
                <w:szCs w:val="18"/>
                <w:lang w:val="en-US" w:eastAsia="zh-CN" w:bidi="ar-SA"/>
              </w:rPr>
            </w:pPr>
            <w:r>
              <w:rPr>
                <w:rStyle w:val="14"/>
                <w:rFonts w:hint="eastAsia" w:ascii="宋体" w:hAnsi="宋体" w:eastAsia="宋体" w:cs="宋体"/>
                <w:kern w:val="0"/>
                <w:sz w:val="18"/>
                <w:szCs w:val="18"/>
                <w:highlight w:val="white"/>
                <w:lang w:val="en-US" w:eastAsia="zh-CN" w:bidi="ar-SA"/>
              </w:rPr>
              <w:t>封—3</w:t>
            </w:r>
          </w:p>
        </w:tc>
      </w:tr>
    </w:tbl>
    <w:p>
      <w:pPr>
        <w:pStyle w:val="71"/>
        <w:bidi w:val="0"/>
        <w:rPr>
          <w:rStyle w:val="14"/>
          <w:rFonts w:ascii="Calibri" w:hAnsi="Calibri" w:eastAsia="宋体" w:cs="Times New Roman"/>
        </w:rPr>
      </w:pPr>
      <w:r>
        <w:rPr>
          <w:rStyle w:val="14"/>
          <w:rFonts w:ascii="Calibri" w:hAnsi="Calibri" w:eastAsia="宋体" w:cs="Times New Roman"/>
          <w:highlight w:val="white"/>
        </w:rPr>
        <w:br w:type="page"/>
      </w:r>
    </w:p>
    <w:tbl>
      <w:tblPr>
        <w:tblStyle w:val="13"/>
        <w:tblW w:w="9733" w:type="dxa"/>
        <w:tblInd w:w="93" w:type="dxa"/>
        <w:tblLayout w:type="autofit"/>
        <w:tblCellMar>
          <w:top w:w="0" w:type="dxa"/>
          <w:left w:w="108" w:type="dxa"/>
          <w:bottom w:w="0" w:type="dxa"/>
          <w:right w:w="108" w:type="dxa"/>
        </w:tblCellMar>
      </w:tblPr>
      <w:tblGrid>
        <w:gridCol w:w="2035"/>
        <w:gridCol w:w="664"/>
        <w:gridCol w:w="964"/>
        <w:gridCol w:w="3620"/>
        <w:gridCol w:w="2450"/>
      </w:tblGrid>
      <w:tr>
        <w:tblPrEx>
          <w:tblCellMar>
            <w:top w:w="0" w:type="dxa"/>
            <w:left w:w="108" w:type="dxa"/>
            <w:bottom w:w="0" w:type="dxa"/>
            <w:right w:w="108" w:type="dxa"/>
          </w:tblCellMar>
        </w:tblPrEx>
        <w:trPr>
          <w:trHeight w:val="1471" w:hRule="atLeast"/>
        </w:trPr>
        <w:tc>
          <w:tcPr>
            <w:tcW w:w="9733" w:type="dxa"/>
            <w:gridSpan w:val="5"/>
            <w:shd w:val="clear" w:color="auto" w:fill="FFFFFF"/>
            <w:noWrap w:val="0"/>
            <w:vAlign w:val="center"/>
          </w:tcPr>
          <w:p>
            <w:pPr>
              <w:pStyle w:val="71"/>
              <w:widowControl/>
              <w:bidi w:val="0"/>
              <w:jc w:val="center"/>
              <w:rPr>
                <w:rStyle w:val="14"/>
                <w:rFonts w:ascii="宋体" w:hAnsi="宋体" w:eastAsia="宋体" w:cs="宋体"/>
                <w:b/>
                <w:bCs/>
                <w:kern w:val="0"/>
                <w:sz w:val="36"/>
                <w:szCs w:val="36"/>
                <w:lang w:val="en-US" w:eastAsia="zh-CN" w:bidi="ar-SA"/>
              </w:rPr>
            </w:pPr>
            <w:r>
              <w:rPr>
                <w:rStyle w:val="14"/>
                <w:rFonts w:hint="eastAsia" w:ascii="宋体" w:hAnsi="宋体" w:eastAsia="宋体" w:cs="宋体"/>
                <w:b/>
                <w:bCs/>
                <w:kern w:val="0"/>
                <w:sz w:val="36"/>
                <w:szCs w:val="36"/>
                <w:highlight w:val="white"/>
                <w:lang w:val="en-US" w:eastAsia="zh-CN" w:bidi="ar-SA"/>
              </w:rPr>
              <w:t>投  标  总  价</w:t>
            </w:r>
          </w:p>
        </w:tc>
      </w:tr>
      <w:tr>
        <w:tblPrEx>
          <w:tblCellMar>
            <w:top w:w="0" w:type="dxa"/>
            <w:left w:w="108" w:type="dxa"/>
            <w:bottom w:w="0" w:type="dxa"/>
            <w:right w:w="108" w:type="dxa"/>
          </w:tblCellMar>
        </w:tblPrEx>
        <w:trPr>
          <w:trHeight w:val="1091" w:hRule="atLeast"/>
        </w:trPr>
        <w:tc>
          <w:tcPr>
            <w:tcW w:w="2699" w:type="dxa"/>
            <w:gridSpan w:val="2"/>
            <w:shd w:val="clear" w:color="auto" w:fill="FFFFFF"/>
            <w:noWrap w:val="0"/>
            <w:vAlign w:val="bottom"/>
          </w:tcPr>
          <w:p>
            <w:pPr>
              <w:pStyle w:val="71"/>
              <w:widowControl/>
              <w:bidi w:val="0"/>
              <w:jc w:val="left"/>
              <w:rPr>
                <w:rStyle w:val="14"/>
                <w:rFonts w:ascii="宋体" w:hAnsi="宋体" w:eastAsia="宋体" w:cs="宋体"/>
                <w:b/>
                <w:bCs/>
                <w:kern w:val="0"/>
                <w:sz w:val="24"/>
                <w:szCs w:val="22"/>
                <w:lang w:val="en-US" w:eastAsia="zh-CN" w:bidi="ar-SA"/>
              </w:rPr>
            </w:pPr>
            <w:r>
              <w:rPr>
                <w:rStyle w:val="14"/>
                <w:rFonts w:hint="eastAsia" w:ascii="宋体" w:hAnsi="宋体" w:eastAsia="宋体" w:cs="宋体"/>
                <w:b/>
                <w:bCs/>
                <w:kern w:val="0"/>
                <w:sz w:val="24"/>
                <w:szCs w:val="22"/>
                <w:highlight w:val="white"/>
                <w:lang w:val="en-US" w:eastAsia="zh-CN" w:bidi="ar-SA"/>
              </w:rPr>
              <w:t>招     标    人：</w:t>
            </w:r>
          </w:p>
        </w:tc>
        <w:tc>
          <w:tcPr>
            <w:tcW w:w="7034" w:type="dxa"/>
            <w:gridSpan w:val="3"/>
            <w:tcBorders>
              <w:top w:val="nil"/>
              <w:left w:val="nil"/>
              <w:bottom w:val="single" w:color="000000" w:sz="4" w:space="0"/>
              <w:right w:val="nil"/>
            </w:tcBorders>
            <w:shd w:val="clear" w:color="auto" w:fill="FFFFFF"/>
            <w:noWrap w:val="0"/>
            <w:vAlign w:val="bottom"/>
          </w:tcPr>
          <w:p>
            <w:pPr>
              <w:pStyle w:val="71"/>
              <w:widowControl/>
              <w:bidi w:val="0"/>
              <w:jc w:val="center"/>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r>
      <w:tr>
        <w:tblPrEx>
          <w:tblCellMar>
            <w:top w:w="0" w:type="dxa"/>
            <w:left w:w="108" w:type="dxa"/>
            <w:bottom w:w="0" w:type="dxa"/>
            <w:right w:w="108" w:type="dxa"/>
          </w:tblCellMar>
        </w:tblPrEx>
        <w:trPr>
          <w:trHeight w:val="1091" w:hRule="atLeast"/>
        </w:trPr>
        <w:tc>
          <w:tcPr>
            <w:tcW w:w="2699" w:type="dxa"/>
            <w:gridSpan w:val="2"/>
            <w:shd w:val="clear" w:color="auto" w:fill="FFFFFF"/>
            <w:noWrap w:val="0"/>
            <w:vAlign w:val="bottom"/>
          </w:tcPr>
          <w:p>
            <w:pPr>
              <w:pStyle w:val="71"/>
              <w:widowControl/>
              <w:bidi w:val="0"/>
              <w:jc w:val="left"/>
              <w:rPr>
                <w:rStyle w:val="14"/>
                <w:rFonts w:ascii="宋体" w:hAnsi="宋体" w:eastAsia="宋体" w:cs="宋体"/>
                <w:b/>
                <w:bCs/>
                <w:kern w:val="0"/>
                <w:sz w:val="24"/>
                <w:szCs w:val="22"/>
                <w:lang w:val="en-US" w:eastAsia="zh-CN" w:bidi="ar-SA"/>
              </w:rPr>
            </w:pPr>
            <w:r>
              <w:rPr>
                <w:rStyle w:val="14"/>
                <w:rFonts w:hint="eastAsia" w:ascii="宋体" w:hAnsi="宋体" w:eastAsia="宋体" w:cs="宋体"/>
                <w:b/>
                <w:bCs/>
                <w:kern w:val="0"/>
                <w:sz w:val="24"/>
                <w:szCs w:val="22"/>
                <w:highlight w:val="white"/>
                <w:lang w:val="en-US" w:eastAsia="zh-CN" w:bidi="ar-SA"/>
              </w:rPr>
              <w:t>工  程   名  称：</w:t>
            </w:r>
          </w:p>
        </w:tc>
        <w:tc>
          <w:tcPr>
            <w:tcW w:w="7034" w:type="dxa"/>
            <w:gridSpan w:val="3"/>
            <w:tcBorders>
              <w:top w:val="single" w:color="000000" w:sz="4" w:space="0"/>
              <w:left w:val="nil"/>
              <w:bottom w:val="single" w:color="000000" w:sz="4" w:space="0"/>
              <w:right w:val="nil"/>
            </w:tcBorders>
            <w:shd w:val="clear" w:color="auto" w:fill="FFFFFF"/>
            <w:noWrap w:val="0"/>
            <w:vAlign w:val="bottom"/>
          </w:tcPr>
          <w:p>
            <w:pPr>
              <w:pStyle w:val="71"/>
              <w:widowControl/>
              <w:bidi w:val="0"/>
              <w:jc w:val="center"/>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r>
      <w:tr>
        <w:tblPrEx>
          <w:tblCellMar>
            <w:top w:w="0" w:type="dxa"/>
            <w:left w:w="108" w:type="dxa"/>
            <w:bottom w:w="0" w:type="dxa"/>
            <w:right w:w="108" w:type="dxa"/>
          </w:tblCellMar>
        </w:tblPrEx>
        <w:trPr>
          <w:trHeight w:val="1091" w:hRule="atLeast"/>
        </w:trPr>
        <w:tc>
          <w:tcPr>
            <w:tcW w:w="2699" w:type="dxa"/>
            <w:gridSpan w:val="2"/>
            <w:shd w:val="clear" w:color="auto" w:fill="FFFFFF"/>
            <w:noWrap w:val="0"/>
            <w:vAlign w:val="bottom"/>
          </w:tcPr>
          <w:p>
            <w:pPr>
              <w:pStyle w:val="71"/>
              <w:widowControl/>
              <w:bidi w:val="0"/>
              <w:jc w:val="left"/>
              <w:rPr>
                <w:rStyle w:val="14"/>
                <w:rFonts w:ascii="宋体" w:hAnsi="宋体" w:eastAsia="宋体" w:cs="宋体"/>
                <w:b/>
                <w:bCs/>
                <w:kern w:val="0"/>
                <w:sz w:val="24"/>
                <w:szCs w:val="22"/>
                <w:lang w:val="en-US" w:eastAsia="zh-CN" w:bidi="ar-SA"/>
              </w:rPr>
            </w:pPr>
            <w:r>
              <w:rPr>
                <w:rStyle w:val="14"/>
                <w:rFonts w:hint="eastAsia" w:ascii="宋体" w:hAnsi="宋体" w:eastAsia="宋体" w:cs="宋体"/>
                <w:b/>
                <w:bCs/>
                <w:kern w:val="0"/>
                <w:sz w:val="24"/>
                <w:szCs w:val="22"/>
                <w:highlight w:val="white"/>
                <w:lang w:val="en-US" w:eastAsia="zh-CN" w:bidi="ar-SA"/>
              </w:rPr>
              <w:t>投标总价（小写）：</w:t>
            </w:r>
          </w:p>
        </w:tc>
        <w:tc>
          <w:tcPr>
            <w:tcW w:w="7034" w:type="dxa"/>
            <w:gridSpan w:val="3"/>
            <w:tcBorders>
              <w:top w:val="single" w:color="000000" w:sz="4" w:space="0"/>
              <w:left w:val="nil"/>
              <w:bottom w:val="single" w:color="000000" w:sz="4" w:space="0"/>
              <w:right w:val="nil"/>
            </w:tcBorders>
            <w:shd w:val="clear" w:color="auto" w:fill="FFFFFF"/>
            <w:noWrap w:val="0"/>
            <w:vAlign w:val="bottom"/>
          </w:tcPr>
          <w:p>
            <w:pPr>
              <w:pStyle w:val="71"/>
              <w:widowControl/>
              <w:bidi w:val="0"/>
              <w:jc w:val="center"/>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r>
      <w:tr>
        <w:tblPrEx>
          <w:tblCellMar>
            <w:top w:w="0" w:type="dxa"/>
            <w:left w:w="108" w:type="dxa"/>
            <w:bottom w:w="0" w:type="dxa"/>
            <w:right w:w="108" w:type="dxa"/>
          </w:tblCellMar>
        </w:tblPrEx>
        <w:trPr>
          <w:trHeight w:val="735" w:hRule="atLeast"/>
        </w:trPr>
        <w:tc>
          <w:tcPr>
            <w:tcW w:w="9733" w:type="dxa"/>
            <w:gridSpan w:val="5"/>
            <w:shd w:val="clear" w:color="auto" w:fill="FFFFFF"/>
            <w:noWrap w:val="0"/>
            <w:vAlign w:val="bottom"/>
          </w:tcPr>
          <w:p>
            <w:pPr>
              <w:pStyle w:val="71"/>
              <w:widowControl/>
              <w:bidi w:val="0"/>
              <w:jc w:val="left"/>
              <w:rPr>
                <w:rStyle w:val="14"/>
                <w:rFonts w:ascii="宋体" w:hAnsi="宋体" w:eastAsia="宋体" w:cs="宋体"/>
                <w:b/>
                <w:bCs/>
                <w:kern w:val="0"/>
                <w:sz w:val="24"/>
                <w:szCs w:val="22"/>
                <w:lang w:val="en-US" w:eastAsia="zh-CN" w:bidi="ar-SA"/>
              </w:rPr>
            </w:pPr>
            <w:r>
              <w:rPr>
                <w:rStyle w:val="14"/>
                <w:rFonts w:hint="eastAsia" w:ascii="宋体" w:hAnsi="宋体" w:eastAsia="宋体" w:cs="宋体"/>
                <w:b/>
                <w:bCs/>
                <w:kern w:val="0"/>
                <w:sz w:val="24"/>
                <w:szCs w:val="22"/>
                <w:highlight w:val="white"/>
                <w:lang w:val="en-US" w:eastAsia="zh-CN" w:bidi="ar-SA"/>
              </w:rPr>
              <w:t xml:space="preserve">        （大写）：</w:t>
            </w:r>
          </w:p>
        </w:tc>
      </w:tr>
      <w:tr>
        <w:tblPrEx>
          <w:tblCellMar>
            <w:top w:w="0" w:type="dxa"/>
            <w:left w:w="108" w:type="dxa"/>
            <w:bottom w:w="0" w:type="dxa"/>
            <w:right w:w="108" w:type="dxa"/>
          </w:tblCellMar>
        </w:tblPrEx>
        <w:trPr>
          <w:trHeight w:val="1091" w:hRule="atLeast"/>
        </w:trPr>
        <w:tc>
          <w:tcPr>
            <w:tcW w:w="2035" w:type="dxa"/>
            <w:shd w:val="clear" w:color="auto" w:fill="FFFFFF"/>
            <w:noWrap w:val="0"/>
            <w:vAlign w:val="bottom"/>
          </w:tcPr>
          <w:p>
            <w:pPr>
              <w:pStyle w:val="71"/>
              <w:widowControl/>
              <w:bidi w:val="0"/>
              <w:jc w:val="left"/>
              <w:rPr>
                <w:rStyle w:val="14"/>
                <w:rFonts w:ascii="宋体" w:hAnsi="宋体" w:eastAsia="宋体" w:cs="宋体"/>
                <w:b/>
                <w:bCs/>
                <w:kern w:val="0"/>
                <w:sz w:val="24"/>
                <w:szCs w:val="22"/>
                <w:lang w:val="en-US" w:eastAsia="zh-CN" w:bidi="ar-SA"/>
              </w:rPr>
            </w:pPr>
            <w:r>
              <w:rPr>
                <w:rStyle w:val="14"/>
                <w:rFonts w:hint="eastAsia" w:ascii="宋体" w:hAnsi="宋体" w:eastAsia="宋体" w:cs="宋体"/>
                <w:b/>
                <w:bCs/>
                <w:kern w:val="0"/>
                <w:sz w:val="24"/>
                <w:szCs w:val="22"/>
                <w:highlight w:val="white"/>
                <w:lang w:val="en-US" w:eastAsia="zh-CN" w:bidi="ar-SA"/>
              </w:rPr>
              <w:t>投  标  人：</w:t>
            </w:r>
          </w:p>
        </w:tc>
        <w:tc>
          <w:tcPr>
            <w:tcW w:w="664" w:type="dxa"/>
            <w:tcBorders>
              <w:top w:val="nil"/>
              <w:left w:val="nil"/>
              <w:bottom w:val="single" w:color="000000" w:sz="4" w:space="0"/>
              <w:right w:val="nil"/>
            </w:tcBorders>
            <w:shd w:val="clear" w:color="auto" w:fill="FFFFFF"/>
            <w:noWrap w:val="0"/>
            <w:vAlign w:val="bottom"/>
          </w:tcPr>
          <w:p>
            <w:pPr>
              <w:pStyle w:val="71"/>
              <w:widowControl/>
              <w:bidi w:val="0"/>
              <w:jc w:val="left"/>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c>
          <w:tcPr>
            <w:tcW w:w="7034" w:type="dxa"/>
            <w:gridSpan w:val="3"/>
            <w:tcBorders>
              <w:top w:val="nil"/>
              <w:left w:val="nil"/>
              <w:bottom w:val="single" w:color="000000" w:sz="4" w:space="0"/>
              <w:right w:val="nil"/>
            </w:tcBorders>
            <w:shd w:val="clear" w:color="auto" w:fill="FFFFFF"/>
            <w:noWrap w:val="0"/>
            <w:vAlign w:val="bottom"/>
          </w:tcPr>
          <w:p>
            <w:pPr>
              <w:pStyle w:val="71"/>
              <w:widowControl/>
              <w:bidi w:val="0"/>
              <w:jc w:val="center"/>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r>
      <w:tr>
        <w:tblPrEx>
          <w:tblCellMar>
            <w:top w:w="0" w:type="dxa"/>
            <w:left w:w="108" w:type="dxa"/>
            <w:bottom w:w="0" w:type="dxa"/>
            <w:right w:w="108" w:type="dxa"/>
          </w:tblCellMar>
        </w:tblPrEx>
        <w:trPr>
          <w:trHeight w:val="354" w:hRule="atLeast"/>
        </w:trPr>
        <w:tc>
          <w:tcPr>
            <w:tcW w:w="2035" w:type="dxa"/>
            <w:shd w:val="clear" w:color="auto" w:fill="FFFFFF"/>
            <w:noWrap w:val="0"/>
            <w:vAlign w:val="bottom"/>
          </w:tcPr>
          <w:p>
            <w:pPr>
              <w:pStyle w:val="71"/>
              <w:widowControl/>
              <w:bidi w:val="0"/>
              <w:jc w:val="left"/>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c>
          <w:tcPr>
            <w:tcW w:w="664" w:type="dxa"/>
            <w:shd w:val="clear" w:color="auto" w:fill="FFFFFF"/>
            <w:noWrap w:val="0"/>
            <w:vAlign w:val="bottom"/>
          </w:tcPr>
          <w:p>
            <w:pPr>
              <w:pStyle w:val="71"/>
              <w:widowControl/>
              <w:bidi w:val="0"/>
              <w:jc w:val="left"/>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c>
          <w:tcPr>
            <w:tcW w:w="7034" w:type="dxa"/>
            <w:gridSpan w:val="3"/>
            <w:tcBorders>
              <w:top w:val="single" w:color="000000" w:sz="4" w:space="0"/>
              <w:left w:val="nil"/>
              <w:bottom w:val="nil"/>
              <w:right w:val="nil"/>
            </w:tcBorders>
            <w:shd w:val="clear" w:color="auto" w:fill="FFFFFF"/>
            <w:noWrap w:val="0"/>
            <w:vAlign w:val="center"/>
          </w:tcPr>
          <w:p>
            <w:pPr>
              <w:pStyle w:val="71"/>
              <w:widowControl/>
              <w:bidi w:val="0"/>
              <w:jc w:val="center"/>
              <w:rPr>
                <w:rStyle w:val="14"/>
                <w:rFonts w:ascii="宋体" w:hAnsi="宋体" w:eastAsia="宋体" w:cs="宋体"/>
                <w:kern w:val="0"/>
                <w:sz w:val="18"/>
                <w:szCs w:val="18"/>
                <w:lang w:val="en-US" w:eastAsia="zh-CN" w:bidi="ar-SA"/>
              </w:rPr>
            </w:pPr>
            <w:r>
              <w:rPr>
                <w:rStyle w:val="14"/>
                <w:rFonts w:hint="eastAsia" w:ascii="宋体" w:hAnsi="宋体" w:eastAsia="宋体" w:cs="宋体"/>
                <w:kern w:val="0"/>
                <w:sz w:val="18"/>
                <w:szCs w:val="18"/>
                <w:highlight w:val="white"/>
                <w:lang w:val="en-US" w:eastAsia="zh-CN" w:bidi="ar-SA"/>
              </w:rPr>
              <w:t>(单位盖章)</w:t>
            </w:r>
          </w:p>
        </w:tc>
      </w:tr>
      <w:tr>
        <w:tblPrEx>
          <w:tblCellMar>
            <w:top w:w="0" w:type="dxa"/>
            <w:left w:w="108" w:type="dxa"/>
            <w:bottom w:w="0" w:type="dxa"/>
            <w:right w:w="108" w:type="dxa"/>
          </w:tblCellMar>
        </w:tblPrEx>
        <w:trPr>
          <w:trHeight w:val="1431" w:hRule="atLeast"/>
        </w:trPr>
        <w:tc>
          <w:tcPr>
            <w:tcW w:w="2035" w:type="dxa"/>
            <w:shd w:val="clear" w:color="auto" w:fill="FFFFFF"/>
            <w:noWrap w:val="0"/>
            <w:vAlign w:val="bottom"/>
          </w:tcPr>
          <w:p>
            <w:pPr>
              <w:pStyle w:val="71"/>
              <w:widowControl/>
              <w:bidi w:val="0"/>
              <w:jc w:val="left"/>
              <w:rPr>
                <w:rStyle w:val="14"/>
                <w:rFonts w:ascii="宋体" w:hAnsi="宋体" w:eastAsia="宋体" w:cs="宋体"/>
                <w:b/>
                <w:bCs/>
                <w:kern w:val="0"/>
                <w:sz w:val="24"/>
                <w:szCs w:val="22"/>
                <w:lang w:val="en-US" w:eastAsia="zh-CN" w:bidi="ar-SA"/>
              </w:rPr>
            </w:pPr>
            <w:r>
              <w:rPr>
                <w:rStyle w:val="14"/>
                <w:rFonts w:hint="eastAsia" w:ascii="宋体" w:hAnsi="宋体" w:eastAsia="宋体" w:cs="宋体"/>
                <w:b/>
                <w:bCs/>
                <w:kern w:val="0"/>
                <w:sz w:val="24"/>
                <w:szCs w:val="22"/>
                <w:highlight w:val="white"/>
                <w:lang w:val="en-US" w:eastAsia="zh-CN" w:bidi="ar-SA"/>
              </w:rPr>
              <w:t>法定代表人</w:t>
            </w:r>
            <w:r>
              <w:rPr>
                <w:rStyle w:val="14"/>
                <w:rFonts w:hint="eastAsia" w:ascii="宋体" w:hAnsi="宋体" w:eastAsia="宋体" w:cs="宋体"/>
                <w:b/>
                <w:bCs/>
                <w:kern w:val="0"/>
                <w:sz w:val="24"/>
                <w:szCs w:val="22"/>
                <w:highlight w:val="white"/>
                <w:lang w:val="en-US" w:eastAsia="zh-CN" w:bidi="ar-SA"/>
              </w:rPr>
              <w:br w:type="textWrapping"/>
            </w:r>
            <w:r>
              <w:rPr>
                <w:rStyle w:val="14"/>
                <w:rFonts w:hint="eastAsia" w:ascii="宋体" w:hAnsi="宋体" w:eastAsia="宋体" w:cs="宋体"/>
                <w:b/>
                <w:bCs/>
                <w:kern w:val="0"/>
                <w:sz w:val="24"/>
                <w:szCs w:val="22"/>
                <w:highlight w:val="white"/>
                <w:lang w:val="en-US" w:eastAsia="zh-CN" w:bidi="ar-SA"/>
              </w:rPr>
              <w:br w:type="textWrapping"/>
            </w:r>
            <w:r>
              <w:rPr>
                <w:rStyle w:val="14"/>
                <w:rFonts w:hint="eastAsia" w:ascii="宋体" w:hAnsi="宋体" w:eastAsia="宋体" w:cs="宋体"/>
                <w:b/>
                <w:bCs/>
                <w:kern w:val="0"/>
                <w:sz w:val="24"/>
                <w:szCs w:val="22"/>
                <w:highlight w:val="white"/>
                <w:lang w:val="en-US" w:eastAsia="zh-CN" w:bidi="ar-SA"/>
              </w:rPr>
              <w:t>或其授权人：</w:t>
            </w:r>
          </w:p>
        </w:tc>
        <w:tc>
          <w:tcPr>
            <w:tcW w:w="664" w:type="dxa"/>
            <w:tcBorders>
              <w:top w:val="nil"/>
              <w:left w:val="nil"/>
              <w:bottom w:val="single" w:color="000000" w:sz="4" w:space="0"/>
              <w:right w:val="nil"/>
            </w:tcBorders>
            <w:shd w:val="clear" w:color="auto" w:fill="FFFFFF"/>
            <w:noWrap w:val="0"/>
            <w:vAlign w:val="bottom"/>
          </w:tcPr>
          <w:p>
            <w:pPr>
              <w:pStyle w:val="71"/>
              <w:widowControl/>
              <w:bidi w:val="0"/>
              <w:jc w:val="left"/>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c>
          <w:tcPr>
            <w:tcW w:w="7034" w:type="dxa"/>
            <w:gridSpan w:val="3"/>
            <w:tcBorders>
              <w:top w:val="nil"/>
              <w:left w:val="nil"/>
              <w:bottom w:val="single" w:color="000000" w:sz="4" w:space="0"/>
              <w:right w:val="nil"/>
            </w:tcBorders>
            <w:shd w:val="clear" w:color="auto" w:fill="FFFFFF"/>
            <w:noWrap w:val="0"/>
            <w:vAlign w:val="bottom"/>
          </w:tcPr>
          <w:p>
            <w:pPr>
              <w:pStyle w:val="71"/>
              <w:widowControl/>
              <w:bidi w:val="0"/>
              <w:jc w:val="center"/>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r>
      <w:tr>
        <w:tblPrEx>
          <w:tblCellMar>
            <w:top w:w="0" w:type="dxa"/>
            <w:left w:w="108" w:type="dxa"/>
            <w:bottom w:w="0" w:type="dxa"/>
            <w:right w:w="108" w:type="dxa"/>
          </w:tblCellMar>
        </w:tblPrEx>
        <w:trPr>
          <w:trHeight w:val="354" w:hRule="atLeast"/>
        </w:trPr>
        <w:tc>
          <w:tcPr>
            <w:tcW w:w="2699" w:type="dxa"/>
            <w:gridSpan w:val="2"/>
            <w:shd w:val="clear" w:color="auto" w:fill="FFFFFF"/>
            <w:noWrap w:val="0"/>
            <w:vAlign w:val="bottom"/>
          </w:tcPr>
          <w:p>
            <w:pPr>
              <w:pStyle w:val="71"/>
              <w:widowControl/>
              <w:bidi w:val="0"/>
              <w:jc w:val="left"/>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c>
          <w:tcPr>
            <w:tcW w:w="7034" w:type="dxa"/>
            <w:gridSpan w:val="3"/>
            <w:tcBorders>
              <w:top w:val="single" w:color="000000" w:sz="4" w:space="0"/>
              <w:left w:val="nil"/>
              <w:bottom w:val="nil"/>
              <w:right w:val="nil"/>
            </w:tcBorders>
            <w:shd w:val="clear" w:color="auto" w:fill="FFFFFF"/>
            <w:noWrap w:val="0"/>
            <w:vAlign w:val="center"/>
          </w:tcPr>
          <w:p>
            <w:pPr>
              <w:pStyle w:val="71"/>
              <w:widowControl/>
              <w:bidi w:val="0"/>
              <w:jc w:val="center"/>
              <w:rPr>
                <w:rStyle w:val="14"/>
                <w:rFonts w:ascii="宋体" w:hAnsi="宋体" w:eastAsia="宋体" w:cs="宋体"/>
                <w:kern w:val="0"/>
                <w:sz w:val="18"/>
                <w:szCs w:val="18"/>
                <w:lang w:val="en-US" w:eastAsia="zh-CN" w:bidi="ar-SA"/>
              </w:rPr>
            </w:pPr>
            <w:r>
              <w:rPr>
                <w:rStyle w:val="14"/>
                <w:rFonts w:hint="eastAsia" w:ascii="宋体" w:hAnsi="宋体" w:eastAsia="宋体" w:cs="宋体"/>
                <w:kern w:val="0"/>
                <w:sz w:val="18"/>
                <w:szCs w:val="18"/>
                <w:highlight w:val="white"/>
                <w:lang w:val="en-US" w:eastAsia="zh-CN" w:bidi="ar-SA"/>
              </w:rPr>
              <w:t>(签字或盖章)</w:t>
            </w:r>
          </w:p>
        </w:tc>
      </w:tr>
      <w:tr>
        <w:tblPrEx>
          <w:tblCellMar>
            <w:top w:w="0" w:type="dxa"/>
            <w:left w:w="108" w:type="dxa"/>
            <w:bottom w:w="0" w:type="dxa"/>
            <w:right w:w="108" w:type="dxa"/>
          </w:tblCellMar>
        </w:tblPrEx>
        <w:trPr>
          <w:trHeight w:val="1431" w:hRule="atLeast"/>
        </w:trPr>
        <w:tc>
          <w:tcPr>
            <w:tcW w:w="2035" w:type="dxa"/>
            <w:shd w:val="clear" w:color="auto" w:fill="FFFFFF"/>
            <w:noWrap w:val="0"/>
            <w:vAlign w:val="bottom"/>
          </w:tcPr>
          <w:p>
            <w:pPr>
              <w:pStyle w:val="71"/>
              <w:widowControl/>
              <w:bidi w:val="0"/>
              <w:jc w:val="left"/>
              <w:rPr>
                <w:rStyle w:val="14"/>
                <w:rFonts w:ascii="宋体" w:hAnsi="宋体" w:eastAsia="宋体" w:cs="宋体"/>
                <w:b/>
                <w:bCs/>
                <w:kern w:val="0"/>
                <w:sz w:val="24"/>
                <w:szCs w:val="22"/>
                <w:lang w:val="en-US" w:eastAsia="zh-CN" w:bidi="ar-SA"/>
              </w:rPr>
            </w:pPr>
            <w:r>
              <w:rPr>
                <w:rStyle w:val="14"/>
                <w:rFonts w:hint="eastAsia" w:ascii="宋体" w:hAnsi="宋体" w:eastAsia="宋体" w:cs="宋体"/>
                <w:b/>
                <w:bCs/>
                <w:kern w:val="0"/>
                <w:sz w:val="24"/>
                <w:szCs w:val="22"/>
                <w:highlight w:val="white"/>
                <w:lang w:val="en-US" w:eastAsia="zh-CN" w:bidi="ar-SA"/>
              </w:rPr>
              <w:t>编  制  人：</w:t>
            </w:r>
          </w:p>
        </w:tc>
        <w:tc>
          <w:tcPr>
            <w:tcW w:w="664" w:type="dxa"/>
            <w:tcBorders>
              <w:top w:val="nil"/>
              <w:left w:val="nil"/>
              <w:bottom w:val="single" w:color="000000" w:sz="4" w:space="0"/>
              <w:right w:val="nil"/>
            </w:tcBorders>
            <w:shd w:val="clear" w:color="auto" w:fill="FFFFFF"/>
            <w:noWrap w:val="0"/>
            <w:vAlign w:val="bottom"/>
          </w:tcPr>
          <w:p>
            <w:pPr>
              <w:pStyle w:val="71"/>
              <w:widowControl/>
              <w:bidi w:val="0"/>
              <w:jc w:val="left"/>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c>
          <w:tcPr>
            <w:tcW w:w="7034" w:type="dxa"/>
            <w:gridSpan w:val="3"/>
            <w:tcBorders>
              <w:top w:val="nil"/>
              <w:left w:val="nil"/>
              <w:bottom w:val="single" w:color="000000" w:sz="4" w:space="0"/>
              <w:right w:val="nil"/>
            </w:tcBorders>
            <w:shd w:val="clear" w:color="auto" w:fill="FFFFFF"/>
            <w:noWrap w:val="0"/>
            <w:vAlign w:val="bottom"/>
          </w:tcPr>
          <w:p>
            <w:pPr>
              <w:pStyle w:val="71"/>
              <w:widowControl/>
              <w:bidi w:val="0"/>
              <w:jc w:val="center"/>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r>
      <w:tr>
        <w:tblPrEx>
          <w:tblCellMar>
            <w:top w:w="0" w:type="dxa"/>
            <w:left w:w="108" w:type="dxa"/>
            <w:bottom w:w="0" w:type="dxa"/>
            <w:right w:w="108" w:type="dxa"/>
          </w:tblCellMar>
        </w:tblPrEx>
        <w:trPr>
          <w:trHeight w:val="368" w:hRule="atLeast"/>
        </w:trPr>
        <w:tc>
          <w:tcPr>
            <w:tcW w:w="2699" w:type="dxa"/>
            <w:gridSpan w:val="2"/>
            <w:shd w:val="clear" w:color="auto" w:fill="FFFFFF"/>
            <w:noWrap w:val="0"/>
            <w:vAlign w:val="bottom"/>
          </w:tcPr>
          <w:p>
            <w:pPr>
              <w:pStyle w:val="71"/>
              <w:widowControl/>
              <w:bidi w:val="0"/>
              <w:jc w:val="left"/>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c>
          <w:tcPr>
            <w:tcW w:w="7034" w:type="dxa"/>
            <w:gridSpan w:val="3"/>
            <w:tcBorders>
              <w:top w:val="single" w:color="000000" w:sz="4" w:space="0"/>
              <w:left w:val="nil"/>
              <w:bottom w:val="nil"/>
              <w:right w:val="nil"/>
            </w:tcBorders>
            <w:shd w:val="clear" w:color="auto" w:fill="FFFFFF"/>
            <w:noWrap w:val="0"/>
            <w:vAlign w:val="center"/>
          </w:tcPr>
          <w:p>
            <w:pPr>
              <w:pStyle w:val="71"/>
              <w:widowControl/>
              <w:bidi w:val="0"/>
              <w:jc w:val="center"/>
              <w:rPr>
                <w:rStyle w:val="14"/>
                <w:rFonts w:ascii="宋体" w:hAnsi="宋体" w:eastAsia="宋体" w:cs="宋体"/>
                <w:kern w:val="0"/>
                <w:sz w:val="18"/>
                <w:szCs w:val="18"/>
                <w:lang w:val="en-US" w:eastAsia="zh-CN" w:bidi="ar-SA"/>
              </w:rPr>
            </w:pPr>
          </w:p>
        </w:tc>
      </w:tr>
      <w:tr>
        <w:tblPrEx>
          <w:tblCellMar>
            <w:top w:w="0" w:type="dxa"/>
            <w:left w:w="108" w:type="dxa"/>
            <w:bottom w:w="0" w:type="dxa"/>
            <w:right w:w="108" w:type="dxa"/>
          </w:tblCellMar>
        </w:tblPrEx>
        <w:trPr>
          <w:trHeight w:val="1431" w:hRule="atLeast"/>
        </w:trPr>
        <w:tc>
          <w:tcPr>
            <w:tcW w:w="2035" w:type="dxa"/>
            <w:shd w:val="clear" w:color="auto" w:fill="FFFFFF"/>
            <w:noWrap w:val="0"/>
            <w:vAlign w:val="bottom"/>
          </w:tcPr>
          <w:p>
            <w:pPr>
              <w:pStyle w:val="71"/>
              <w:widowControl/>
              <w:bidi w:val="0"/>
              <w:jc w:val="left"/>
              <w:rPr>
                <w:rStyle w:val="14"/>
                <w:rFonts w:ascii="宋体" w:hAnsi="宋体" w:eastAsia="宋体" w:cs="宋体"/>
                <w:b/>
                <w:bCs/>
                <w:kern w:val="0"/>
                <w:sz w:val="24"/>
                <w:szCs w:val="22"/>
                <w:lang w:val="en-US" w:eastAsia="zh-CN" w:bidi="ar-SA"/>
              </w:rPr>
            </w:pPr>
            <w:r>
              <w:rPr>
                <w:rStyle w:val="14"/>
                <w:rFonts w:hint="eastAsia" w:ascii="宋体" w:hAnsi="宋体" w:eastAsia="宋体" w:cs="宋体"/>
                <w:b/>
                <w:bCs/>
                <w:kern w:val="0"/>
                <w:sz w:val="24"/>
                <w:szCs w:val="22"/>
                <w:highlight w:val="white"/>
                <w:lang w:val="en-US" w:eastAsia="zh-CN" w:bidi="ar-SA"/>
              </w:rPr>
              <w:t>时     间：</w:t>
            </w:r>
          </w:p>
        </w:tc>
        <w:tc>
          <w:tcPr>
            <w:tcW w:w="664" w:type="dxa"/>
            <w:shd w:val="clear" w:color="auto" w:fill="FFFFFF"/>
            <w:noWrap w:val="0"/>
            <w:vAlign w:val="bottom"/>
          </w:tcPr>
          <w:p>
            <w:pPr>
              <w:pStyle w:val="71"/>
              <w:widowControl/>
              <w:bidi w:val="0"/>
              <w:jc w:val="left"/>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w:t>
            </w:r>
          </w:p>
        </w:tc>
        <w:tc>
          <w:tcPr>
            <w:tcW w:w="7034" w:type="dxa"/>
            <w:gridSpan w:val="3"/>
            <w:shd w:val="clear" w:color="auto" w:fill="FFFFFF"/>
            <w:noWrap w:val="0"/>
            <w:vAlign w:val="bottom"/>
          </w:tcPr>
          <w:p>
            <w:pPr>
              <w:pStyle w:val="71"/>
              <w:widowControl/>
              <w:bidi w:val="0"/>
              <w:jc w:val="center"/>
              <w:rPr>
                <w:rStyle w:val="14"/>
                <w:rFonts w:ascii="宋体" w:hAnsi="宋体" w:eastAsia="宋体" w:cs="宋体"/>
                <w:kern w:val="0"/>
                <w:sz w:val="24"/>
                <w:szCs w:val="22"/>
                <w:lang w:val="en-US" w:eastAsia="zh-CN" w:bidi="ar-SA"/>
              </w:rPr>
            </w:pPr>
            <w:r>
              <w:rPr>
                <w:rStyle w:val="14"/>
                <w:rFonts w:hint="eastAsia" w:ascii="宋体" w:hAnsi="宋体" w:eastAsia="宋体" w:cs="宋体"/>
                <w:kern w:val="0"/>
                <w:sz w:val="24"/>
                <w:szCs w:val="22"/>
                <w:highlight w:val="white"/>
                <w:lang w:val="en-US" w:eastAsia="zh-CN" w:bidi="ar-SA"/>
              </w:rPr>
              <w:t xml:space="preserve">     年    月    日</w:t>
            </w:r>
          </w:p>
        </w:tc>
      </w:tr>
      <w:tr>
        <w:tblPrEx>
          <w:tblCellMar>
            <w:top w:w="0" w:type="dxa"/>
            <w:left w:w="108" w:type="dxa"/>
            <w:bottom w:w="0" w:type="dxa"/>
            <w:right w:w="108" w:type="dxa"/>
          </w:tblCellMar>
        </w:tblPrEx>
        <w:trPr>
          <w:trHeight w:val="283" w:hRule="atLeast"/>
        </w:trPr>
        <w:tc>
          <w:tcPr>
            <w:tcW w:w="3663" w:type="dxa"/>
            <w:gridSpan w:val="3"/>
            <w:shd w:val="clear" w:color="auto" w:fill="FFFFFF"/>
            <w:noWrap w:val="0"/>
            <w:vAlign w:val="center"/>
          </w:tcPr>
          <w:p>
            <w:pPr>
              <w:pStyle w:val="71"/>
              <w:widowControl/>
              <w:bidi w:val="0"/>
              <w:jc w:val="left"/>
              <w:rPr>
                <w:rStyle w:val="14"/>
                <w:rFonts w:ascii="宋体" w:hAnsi="宋体" w:eastAsia="宋体" w:cs="宋体"/>
                <w:kern w:val="0"/>
                <w:sz w:val="18"/>
                <w:szCs w:val="18"/>
                <w:lang w:val="en-US" w:eastAsia="zh-CN" w:bidi="ar-SA"/>
              </w:rPr>
            </w:pPr>
            <w:r>
              <w:rPr>
                <w:rStyle w:val="14"/>
                <w:rFonts w:hint="eastAsia" w:ascii="宋体" w:hAnsi="宋体" w:eastAsia="宋体" w:cs="宋体"/>
                <w:kern w:val="0"/>
                <w:sz w:val="18"/>
                <w:szCs w:val="18"/>
                <w:highlight w:val="white"/>
                <w:lang w:val="en-US" w:eastAsia="zh-CN" w:bidi="ar-SA"/>
              </w:rPr>
              <w:t>　</w:t>
            </w:r>
          </w:p>
        </w:tc>
        <w:tc>
          <w:tcPr>
            <w:tcW w:w="3620" w:type="dxa"/>
            <w:shd w:val="clear" w:color="auto" w:fill="FFFFFF"/>
            <w:noWrap w:val="0"/>
            <w:vAlign w:val="center"/>
          </w:tcPr>
          <w:p>
            <w:pPr>
              <w:pStyle w:val="71"/>
              <w:widowControl/>
              <w:bidi w:val="0"/>
              <w:jc w:val="center"/>
              <w:rPr>
                <w:rStyle w:val="14"/>
                <w:rFonts w:ascii="宋体" w:hAnsi="宋体" w:eastAsia="宋体" w:cs="宋体"/>
                <w:kern w:val="0"/>
                <w:sz w:val="18"/>
                <w:szCs w:val="18"/>
                <w:lang w:val="en-US" w:eastAsia="zh-CN" w:bidi="ar-SA"/>
              </w:rPr>
            </w:pPr>
            <w:r>
              <w:rPr>
                <w:rStyle w:val="14"/>
                <w:rFonts w:hint="eastAsia" w:ascii="宋体" w:hAnsi="宋体" w:eastAsia="宋体" w:cs="宋体"/>
                <w:kern w:val="0"/>
                <w:sz w:val="18"/>
                <w:szCs w:val="18"/>
                <w:highlight w:val="white"/>
                <w:lang w:val="en-US" w:eastAsia="zh-CN" w:bidi="ar-SA"/>
              </w:rPr>
              <w:t>　</w:t>
            </w:r>
          </w:p>
        </w:tc>
        <w:tc>
          <w:tcPr>
            <w:tcW w:w="2450" w:type="dxa"/>
            <w:shd w:val="clear" w:color="auto" w:fill="FFFFFF"/>
            <w:noWrap w:val="0"/>
            <w:vAlign w:val="center"/>
          </w:tcPr>
          <w:p>
            <w:pPr>
              <w:pStyle w:val="71"/>
              <w:widowControl/>
              <w:bidi w:val="0"/>
              <w:jc w:val="right"/>
              <w:rPr>
                <w:rStyle w:val="14"/>
                <w:rFonts w:ascii="宋体" w:hAnsi="宋体" w:eastAsia="宋体" w:cs="宋体"/>
                <w:kern w:val="0"/>
                <w:sz w:val="18"/>
                <w:szCs w:val="18"/>
                <w:lang w:val="en-US" w:eastAsia="zh-CN" w:bidi="ar-SA"/>
              </w:rPr>
            </w:pPr>
            <w:r>
              <w:rPr>
                <w:rStyle w:val="14"/>
                <w:rFonts w:hint="eastAsia" w:ascii="宋体" w:hAnsi="宋体" w:eastAsia="宋体" w:cs="宋体"/>
                <w:kern w:val="0"/>
                <w:sz w:val="18"/>
                <w:szCs w:val="18"/>
                <w:highlight w:val="white"/>
                <w:lang w:val="en-US" w:eastAsia="zh-CN" w:bidi="ar-SA"/>
              </w:rPr>
              <w:t>扉—3</w:t>
            </w:r>
          </w:p>
        </w:tc>
      </w:tr>
    </w:tbl>
    <w:p>
      <w:pPr>
        <w:pStyle w:val="72"/>
        <w:bidi w:val="0"/>
        <w:jc w:val="left"/>
        <w:outlineLvl w:val="1"/>
        <w:rPr>
          <w:rStyle w:val="14"/>
        </w:rPr>
      </w:pPr>
      <w:r>
        <w:rPr>
          <w:rStyle w:val="14"/>
          <w:highlight w:val="white"/>
        </w:rPr>
        <w:br w:type="page"/>
      </w:r>
      <w:bookmarkStart w:id="654" w:name="_Toc9570"/>
      <w:r>
        <w:rPr>
          <w:rStyle w:val="14"/>
          <w:highlight w:val="white"/>
        </w:rPr>
        <w:t>十一、履约保证金缴纳承诺函</w:t>
      </w:r>
      <w:bookmarkEnd w:id="654"/>
    </w:p>
    <w:p>
      <w:pPr>
        <w:pStyle w:val="73"/>
        <w:bidi w:val="0"/>
        <w:spacing w:line="560" w:lineRule="exact"/>
        <w:rPr>
          <w:rStyle w:val="14"/>
          <w:rFonts w:ascii="宋体" w:hAnsi="宋体" w:eastAsia="宋体" w:cs="Times New Roman"/>
          <w:szCs w:val="21"/>
        </w:rPr>
      </w:pPr>
      <w:r>
        <w:rPr>
          <w:rStyle w:val="14"/>
          <w:rFonts w:hint="eastAsia" w:ascii="宋体" w:hAnsi="宋体" w:eastAsia="宋体" w:cs="Times New Roman"/>
          <w:sz w:val="28"/>
          <w:szCs w:val="28"/>
          <w:highlight w:val="white"/>
          <w:u w:val="single"/>
        </w:rPr>
        <w:t xml:space="preserve"> </w:t>
      </w:r>
      <w:r>
        <w:rPr>
          <w:rStyle w:val="14"/>
          <w:rFonts w:hint="eastAsia" w:ascii="宋体" w:hAnsi="宋体" w:eastAsia="宋体" w:cs="Times New Roman"/>
          <w:szCs w:val="21"/>
          <w:highlight w:val="white"/>
          <w:u w:val="single"/>
        </w:rPr>
        <w:t xml:space="preserve">   （招标人</w:t>
      </w:r>
      <w:r>
        <w:rPr>
          <w:rStyle w:val="14"/>
          <w:rFonts w:ascii="宋体" w:hAnsi="宋体" w:eastAsia="宋体" w:cs="Times New Roman"/>
          <w:szCs w:val="21"/>
          <w:highlight w:val="white"/>
          <w:u w:val="single"/>
        </w:rPr>
        <w:t>名称）</w:t>
      </w:r>
      <w:r>
        <w:rPr>
          <w:rStyle w:val="14"/>
          <w:rFonts w:hint="eastAsia" w:ascii="宋体" w:hAnsi="宋体" w:eastAsia="宋体" w:cs="Times New Roman"/>
          <w:szCs w:val="21"/>
          <w:highlight w:val="white"/>
          <w:u w:val="single"/>
        </w:rPr>
        <w:t xml:space="preserve">              </w:t>
      </w:r>
    </w:p>
    <w:p>
      <w:pPr>
        <w:pStyle w:val="73"/>
        <w:bidi w:val="0"/>
        <w:spacing w:line="560" w:lineRule="exact"/>
        <w:ind w:firstLine="525" w:firstLineChars="250"/>
        <w:rPr>
          <w:rStyle w:val="14"/>
          <w:rFonts w:ascii="宋体" w:hAnsi="宋体" w:eastAsia="宋体" w:cs="Times New Roman"/>
          <w:szCs w:val="21"/>
        </w:rPr>
      </w:pPr>
      <w:r>
        <w:rPr>
          <w:rStyle w:val="14"/>
          <w:rFonts w:hint="eastAsia" w:ascii="宋体" w:hAnsi="宋体" w:eastAsia="宋体" w:cs="Times New Roman"/>
          <w:szCs w:val="21"/>
          <w:highlight w:val="white"/>
        </w:rPr>
        <w:t>我方已仔细研究了</w:t>
      </w:r>
      <w:r>
        <w:rPr>
          <w:rStyle w:val="14"/>
          <w:rFonts w:hint="eastAsia" w:ascii="宋体" w:hAnsi="宋体" w:eastAsia="宋体" w:cs="Times New Roman"/>
          <w:szCs w:val="21"/>
          <w:highlight w:val="white"/>
          <w:u w:val="single"/>
        </w:rPr>
        <w:t xml:space="preserve">        （标段</w:t>
      </w:r>
      <w:r>
        <w:rPr>
          <w:rStyle w:val="14"/>
          <w:rFonts w:ascii="宋体" w:hAnsi="宋体" w:eastAsia="宋体" w:cs="Times New Roman"/>
          <w:szCs w:val="21"/>
          <w:highlight w:val="white"/>
          <w:u w:val="single"/>
        </w:rPr>
        <w:t>名称）</w:t>
      </w:r>
      <w:r>
        <w:rPr>
          <w:rStyle w:val="14"/>
          <w:rFonts w:hint="eastAsia" w:ascii="宋体" w:hAnsi="宋体" w:eastAsia="宋体" w:cs="Times New Roman"/>
          <w:szCs w:val="21"/>
          <w:highlight w:val="white"/>
          <w:u w:val="single"/>
        </w:rPr>
        <w:t xml:space="preserve">         </w:t>
      </w:r>
      <w:r>
        <w:rPr>
          <w:rStyle w:val="14"/>
          <w:rFonts w:hint="eastAsia" w:ascii="宋体" w:hAnsi="宋体" w:eastAsia="宋体" w:cs="Times New Roman"/>
          <w:szCs w:val="21"/>
          <w:highlight w:val="white"/>
        </w:rPr>
        <w:t>招标文件全部内容，并自愿接受招标文件中关于履约保证金缴纳的相关要求。</w:t>
      </w:r>
    </w:p>
    <w:p>
      <w:pPr>
        <w:pStyle w:val="73"/>
        <w:bidi w:val="0"/>
        <w:spacing w:line="560" w:lineRule="exact"/>
        <w:ind w:firstLine="525" w:firstLineChars="250"/>
        <w:rPr>
          <w:rStyle w:val="14"/>
          <w:rFonts w:ascii="宋体" w:hAnsi="宋体" w:eastAsia="宋体" w:cs="Times New Roman"/>
          <w:szCs w:val="21"/>
        </w:rPr>
      </w:pPr>
      <w:r>
        <w:rPr>
          <w:rStyle w:val="14"/>
          <w:rFonts w:hint="eastAsia" w:ascii="宋体" w:hAnsi="宋体" w:eastAsia="宋体" w:cs="Times New Roman"/>
          <w:szCs w:val="21"/>
          <w:highlight w:val="white"/>
        </w:rPr>
        <w:t>如我方中标，承诺如下：</w:t>
      </w:r>
    </w:p>
    <w:p>
      <w:pPr>
        <w:pStyle w:val="73"/>
        <w:bidi w:val="0"/>
        <w:spacing w:line="560" w:lineRule="exact"/>
        <w:ind w:firstLine="525" w:firstLineChars="250"/>
        <w:rPr>
          <w:rStyle w:val="14"/>
          <w:rFonts w:ascii="宋体" w:hAnsi="宋体" w:eastAsia="宋体" w:cs="Times New Roman"/>
          <w:szCs w:val="21"/>
        </w:rPr>
      </w:pPr>
      <w:r>
        <w:rPr>
          <w:rStyle w:val="14"/>
          <w:rFonts w:hint="eastAsia" w:ascii="宋体" w:hAnsi="宋体" w:eastAsia="宋体" w:cs="Times New Roman"/>
          <w:szCs w:val="21"/>
          <w:highlight w:val="white"/>
        </w:rPr>
        <w:t>1、在中标公告发布之日起5个工作日内，按中标价</w:t>
      </w:r>
      <w:r>
        <w:rPr>
          <w:rStyle w:val="14"/>
          <w:rFonts w:hint="eastAsia" w:ascii="宋体" w:hAnsi="宋体" w:eastAsia="宋体" w:cs="Times New Roman"/>
          <w:szCs w:val="21"/>
          <w:highlight w:val="white"/>
          <w:u w:val="single"/>
        </w:rPr>
        <w:t xml:space="preserve">     </w:t>
      </w:r>
      <w:r>
        <w:rPr>
          <w:rStyle w:val="14"/>
          <w:rFonts w:hint="eastAsia" w:ascii="宋体" w:hAnsi="宋体" w:eastAsia="宋体" w:cs="Times New Roman"/>
          <w:szCs w:val="21"/>
          <w:highlight w:val="white"/>
        </w:rPr>
        <w:t>%比例缴纳履约保证金。</w:t>
      </w:r>
    </w:p>
    <w:p>
      <w:pPr>
        <w:pStyle w:val="73"/>
        <w:bidi w:val="0"/>
        <w:spacing w:line="560" w:lineRule="exact"/>
        <w:ind w:firstLine="525" w:firstLineChars="250"/>
        <w:rPr>
          <w:rStyle w:val="14"/>
          <w:rFonts w:ascii="宋体" w:hAnsi="宋体" w:eastAsia="宋体" w:cs="Times New Roman"/>
          <w:szCs w:val="21"/>
        </w:rPr>
      </w:pPr>
      <w:r>
        <w:rPr>
          <w:rStyle w:val="14"/>
          <w:rFonts w:hint="eastAsia" w:ascii="宋体" w:hAnsi="宋体" w:eastAsia="宋体" w:cs="Times New Roman"/>
          <w:szCs w:val="21"/>
          <w:highlight w:val="white"/>
        </w:rPr>
        <w:t>2、我方若不能按上述要求缴纳履约保证金，我们理解并接受招标人及招投标监管部门依据《招标投标法实施条例》第七十四条、苏建招〔2009〕140号文件第十九条等相关规定，作出的关于投标保证金不予退还、记入不良行为记录、给予中标金额10‰以下罚款、取消中标资格等处理、处罚，且不提出任何异议。</w:t>
      </w:r>
    </w:p>
    <w:p>
      <w:pPr>
        <w:pStyle w:val="73"/>
        <w:bidi w:val="0"/>
        <w:spacing w:line="560" w:lineRule="exact"/>
        <w:ind w:firstLine="525" w:firstLineChars="250"/>
        <w:rPr>
          <w:rStyle w:val="14"/>
          <w:rFonts w:ascii="宋体" w:hAnsi="宋体" w:eastAsia="宋体" w:cs="Times New Roman"/>
          <w:szCs w:val="21"/>
        </w:rPr>
      </w:pPr>
      <w:r>
        <w:rPr>
          <w:rStyle w:val="14"/>
          <w:rFonts w:hint="eastAsia" w:ascii="宋体" w:hAnsi="宋体" w:eastAsia="宋体" w:cs="Times New Roman"/>
          <w:szCs w:val="21"/>
          <w:highlight w:val="white"/>
        </w:rPr>
        <w:t xml:space="preserve">                      </w:t>
      </w:r>
    </w:p>
    <w:p>
      <w:pPr>
        <w:pStyle w:val="73"/>
        <w:bidi w:val="0"/>
        <w:spacing w:line="560" w:lineRule="exact"/>
        <w:ind w:firstLine="525" w:firstLineChars="250"/>
        <w:rPr>
          <w:rStyle w:val="14"/>
          <w:rFonts w:ascii="宋体" w:hAnsi="宋体" w:eastAsia="宋体" w:cs="Times New Roman"/>
          <w:szCs w:val="21"/>
        </w:rPr>
      </w:pPr>
    </w:p>
    <w:p>
      <w:pPr>
        <w:pStyle w:val="73"/>
        <w:bidi w:val="0"/>
        <w:spacing w:line="560" w:lineRule="exact"/>
        <w:ind w:firstLine="3150" w:firstLineChars="1500"/>
        <w:rPr>
          <w:rStyle w:val="14"/>
          <w:rFonts w:ascii="宋体" w:hAnsi="宋体" w:eastAsia="宋体" w:cs="Times New Roman"/>
          <w:szCs w:val="21"/>
        </w:rPr>
      </w:pPr>
      <w:r>
        <w:rPr>
          <w:rStyle w:val="14"/>
          <w:rFonts w:hint="eastAsia" w:ascii="宋体" w:hAnsi="宋体" w:eastAsia="宋体" w:cs="Times New Roman"/>
          <w:szCs w:val="21"/>
          <w:highlight w:val="white"/>
        </w:rPr>
        <w:t xml:space="preserve"> 投标人：</w:t>
      </w:r>
      <w:r>
        <w:rPr>
          <w:rStyle w:val="14"/>
          <w:rFonts w:hint="eastAsia" w:ascii="宋体" w:hAnsi="宋体" w:eastAsia="宋体" w:cs="Times New Roman"/>
          <w:szCs w:val="21"/>
          <w:highlight w:val="white"/>
          <w:u w:val="single"/>
        </w:rPr>
        <w:t xml:space="preserve">  </w:t>
      </w:r>
      <w:r>
        <w:rPr>
          <w:rStyle w:val="14"/>
          <w:rFonts w:ascii="宋体" w:hAnsi="宋体" w:eastAsia="宋体" w:cs="Times New Roman"/>
          <w:szCs w:val="21"/>
          <w:highlight w:val="white"/>
          <w:u w:val="single"/>
        </w:rPr>
        <w:t xml:space="preserve">      </w:t>
      </w:r>
      <w:r>
        <w:rPr>
          <w:rStyle w:val="14"/>
          <w:rFonts w:hint="eastAsia" w:ascii="宋体" w:hAnsi="宋体" w:eastAsia="宋体" w:cs="Times New Roman"/>
          <w:szCs w:val="21"/>
          <w:highlight w:val="white"/>
          <w:u w:val="single"/>
        </w:rPr>
        <w:t xml:space="preserve"> </w:t>
      </w:r>
      <w:r>
        <w:rPr>
          <w:rStyle w:val="14"/>
          <w:rFonts w:hint="eastAsia" w:ascii="宋体" w:hAnsi="宋体" w:eastAsia="宋体" w:cs="Times New Roman"/>
          <w:szCs w:val="21"/>
          <w:highlight w:val="white"/>
        </w:rPr>
        <w:t>（</w:t>
      </w:r>
      <w:r>
        <w:rPr>
          <w:rStyle w:val="14"/>
          <w:rFonts w:hint="eastAsia" w:ascii="宋体" w:hAnsi="宋体" w:cs="Times New Roman"/>
          <w:szCs w:val="21"/>
          <w:highlight w:val="white"/>
          <w:lang w:val="en-US" w:eastAsia="zh-CN"/>
        </w:rPr>
        <w:t>单位公章</w:t>
      </w:r>
      <w:r>
        <w:rPr>
          <w:rStyle w:val="14"/>
          <w:rFonts w:hint="eastAsia" w:ascii="宋体" w:hAnsi="宋体" w:eastAsia="宋体" w:cs="Times New Roman"/>
          <w:szCs w:val="21"/>
          <w:highlight w:val="white"/>
        </w:rPr>
        <w:t>）</w:t>
      </w:r>
    </w:p>
    <w:p>
      <w:pPr>
        <w:pStyle w:val="73"/>
        <w:bidi w:val="0"/>
        <w:spacing w:line="560" w:lineRule="exact"/>
        <w:ind w:firstLine="525" w:firstLineChars="250"/>
        <w:rPr>
          <w:rStyle w:val="14"/>
          <w:rFonts w:hint="eastAsia" w:ascii="宋体" w:hAnsi="宋体" w:eastAsia="宋体" w:cs="Times New Roman"/>
          <w:szCs w:val="21"/>
        </w:rPr>
      </w:pPr>
      <w:r>
        <w:rPr>
          <w:rStyle w:val="14"/>
          <w:rFonts w:hint="eastAsia" w:ascii="宋体" w:hAnsi="宋体" w:eastAsia="宋体" w:cs="Times New Roman"/>
          <w:szCs w:val="21"/>
          <w:highlight w:val="white"/>
        </w:rPr>
        <w:t xml:space="preserve">                         </w:t>
      </w:r>
      <w:r>
        <w:rPr>
          <w:rStyle w:val="14"/>
          <w:rFonts w:ascii="宋体" w:hAnsi="宋体" w:eastAsia="宋体" w:cs="Times New Roman"/>
          <w:szCs w:val="21"/>
          <w:highlight w:val="white"/>
        </w:rPr>
        <w:t xml:space="preserve"> </w:t>
      </w:r>
      <w:r>
        <w:rPr>
          <w:rStyle w:val="14"/>
          <w:rFonts w:hint="eastAsia" w:ascii="宋体" w:hAnsi="宋体" w:eastAsia="宋体" w:cs="Times New Roman"/>
          <w:szCs w:val="21"/>
          <w:highlight w:val="white"/>
        </w:rPr>
        <w:t>法定代表人：</w:t>
      </w:r>
      <w:r>
        <w:rPr>
          <w:rStyle w:val="14"/>
          <w:rFonts w:hint="eastAsia" w:ascii="宋体" w:hAnsi="宋体" w:eastAsia="宋体" w:cs="Times New Roman"/>
          <w:szCs w:val="21"/>
          <w:highlight w:val="white"/>
          <w:u w:val="single"/>
        </w:rPr>
        <w:t xml:space="preserve">     </w:t>
      </w:r>
      <w:r>
        <w:rPr>
          <w:rStyle w:val="14"/>
          <w:rFonts w:hint="eastAsia" w:ascii="宋体" w:hAnsi="宋体" w:eastAsia="宋体" w:cs="Times New Roman"/>
          <w:szCs w:val="21"/>
          <w:highlight w:val="white"/>
        </w:rPr>
        <w:t>（</w:t>
      </w:r>
      <w:r>
        <w:rPr>
          <w:rStyle w:val="14"/>
          <w:rFonts w:hint="eastAsia" w:ascii="宋体" w:hAnsi="宋体" w:cs="Times New Roman"/>
          <w:szCs w:val="21"/>
          <w:highlight w:val="white"/>
          <w:lang w:val="en-US" w:eastAsia="zh-CN"/>
        </w:rPr>
        <w:t>签字或</w:t>
      </w:r>
      <w:r>
        <w:rPr>
          <w:rStyle w:val="14"/>
          <w:rFonts w:hint="eastAsia" w:ascii="宋体" w:hAnsi="宋体" w:eastAsia="宋体" w:cs="Times New Roman"/>
          <w:szCs w:val="21"/>
          <w:highlight w:val="white"/>
        </w:rPr>
        <w:t>签章）</w:t>
      </w:r>
    </w:p>
    <w:p>
      <w:pPr>
        <w:pStyle w:val="73"/>
        <w:bidi w:val="0"/>
        <w:spacing w:line="560" w:lineRule="exact"/>
        <w:ind w:firstLine="3255" w:firstLineChars="1550"/>
        <w:rPr>
          <w:rStyle w:val="14"/>
          <w:rFonts w:hint="eastAsia" w:ascii="宋体" w:hAnsi="宋体" w:eastAsia="宋体" w:cs="Times New Roman"/>
          <w:szCs w:val="21"/>
        </w:rPr>
      </w:pPr>
      <w:r>
        <w:rPr>
          <w:rStyle w:val="14"/>
          <w:rFonts w:hint="eastAsia" w:ascii="宋体" w:hAnsi="宋体" w:eastAsia="宋体" w:cs="Times New Roman"/>
          <w:szCs w:val="21"/>
          <w:highlight w:val="white"/>
        </w:rPr>
        <w:t>日期：</w:t>
      </w:r>
      <w:r>
        <w:rPr>
          <w:rStyle w:val="14"/>
          <w:rFonts w:hint="eastAsia" w:ascii="宋体" w:hAnsi="宋体" w:eastAsia="宋体" w:cs="Times New Roman"/>
          <w:szCs w:val="21"/>
          <w:highlight w:val="white"/>
          <w:u w:val="single"/>
        </w:rPr>
        <w:t xml:space="preserve"> </w:t>
      </w:r>
      <w:r>
        <w:rPr>
          <w:rStyle w:val="14"/>
          <w:rFonts w:ascii="黑体" w:hAnsi="黑体" w:eastAsia="黑体" w:cs="Times New Roman"/>
          <w:b/>
          <w:kern w:val="0"/>
          <w:sz w:val="32"/>
          <w:highlight w:val="white"/>
          <w:u w:val="single"/>
        </w:rPr>
        <w:t xml:space="preserve">      </w:t>
      </w:r>
    </w:p>
    <w:p>
      <w:pPr>
        <w:pStyle w:val="74"/>
        <w:bidi w:val="0"/>
        <w:jc w:val="left"/>
        <w:outlineLvl w:val="1"/>
        <w:rPr>
          <w:rStyle w:val="14"/>
        </w:rPr>
      </w:pPr>
      <w:r>
        <w:rPr>
          <w:rStyle w:val="14"/>
          <w:highlight w:val="white"/>
        </w:rPr>
        <w:br w:type="page"/>
      </w:r>
      <w:bookmarkStart w:id="655" w:name="_Toc5621"/>
      <w:r>
        <w:rPr>
          <w:rStyle w:val="14"/>
          <w:highlight w:val="white"/>
        </w:rPr>
        <w:t>十二、项目负责人无在建工程等承诺书</w:t>
      </w:r>
      <w:bookmarkEnd w:id="655"/>
    </w:p>
    <w:p>
      <w:pPr>
        <w:pStyle w:val="75"/>
        <w:bidi w:val="0"/>
        <w:spacing w:line="440" w:lineRule="exact"/>
        <w:rPr>
          <w:rStyle w:val="14"/>
          <w:rFonts w:ascii="Times New Roman" w:hAnsi="Times New Roman" w:eastAsia="宋体" w:cs="Times New Roman"/>
          <w:szCs w:val="21"/>
        </w:rPr>
      </w:pPr>
      <w:r>
        <w:rPr>
          <w:rStyle w:val="14"/>
          <w:rFonts w:ascii="Times New Roman" w:hAnsi="Times New Roman" w:eastAsia="宋体" w:cs="Times New Roman"/>
          <w:szCs w:val="21"/>
          <w:highlight w:val="white"/>
          <w:u w:val="single"/>
        </w:rPr>
        <w:t xml:space="preserve">  招标人名称</w:t>
      </w:r>
      <w:r>
        <w:rPr>
          <w:rStyle w:val="14"/>
          <w:rFonts w:hint="eastAsia" w:ascii="Times New Roman" w:hAnsi="Times New Roman" w:eastAsia="宋体" w:cs="Times New Roman"/>
          <w:szCs w:val="21"/>
          <w:highlight w:val="white"/>
          <w:u w:val="single"/>
        </w:rPr>
        <w:t xml:space="preserve">  </w:t>
      </w:r>
      <w:r>
        <w:rPr>
          <w:rStyle w:val="14"/>
          <w:rFonts w:ascii="Times New Roman" w:hAnsi="Times New Roman" w:eastAsia="宋体" w:cs="Times New Roman"/>
          <w:szCs w:val="21"/>
          <w:highlight w:val="white"/>
        </w:rPr>
        <w:t>：</w:t>
      </w:r>
    </w:p>
    <w:p>
      <w:pPr>
        <w:pStyle w:val="75"/>
        <w:widowControl/>
        <w:bidi w:val="0"/>
        <w:spacing w:line="440" w:lineRule="exact"/>
        <w:ind w:firstLine="495" w:firstLineChars="236"/>
        <w:rPr>
          <w:rStyle w:val="14"/>
          <w:rFonts w:ascii="Times New Roman" w:hAnsi="Times New Roman" w:eastAsia="宋体" w:cs="Times New Roman"/>
          <w:szCs w:val="21"/>
        </w:rPr>
      </w:pPr>
      <w:r>
        <w:rPr>
          <w:rStyle w:val="14"/>
          <w:rFonts w:ascii="Times New Roman" w:hAnsi="Times New Roman" w:eastAsia="宋体" w:cs="Times New Roman"/>
          <w:szCs w:val="21"/>
          <w:highlight w:val="white"/>
        </w:rPr>
        <w:t>我方已仔细研读了</w:t>
      </w:r>
      <w:r>
        <w:rPr>
          <w:rStyle w:val="14"/>
          <w:rFonts w:hint="eastAsia" w:ascii="Times New Roman" w:hAnsi="Times New Roman" w:eastAsia="宋体" w:cs="Times New Roman"/>
          <w:szCs w:val="21"/>
          <w:highlight w:val="white"/>
          <w:u w:val="single"/>
        </w:rPr>
        <w:t xml:space="preserve">   </w:t>
      </w:r>
      <w:r>
        <w:rPr>
          <w:rStyle w:val="14"/>
          <w:rFonts w:ascii="Times New Roman" w:hAnsi="Times New Roman" w:eastAsia="宋体" w:cs="Times New Roman"/>
          <w:szCs w:val="21"/>
          <w:highlight w:val="white"/>
          <w:u w:val="single"/>
        </w:rPr>
        <w:t>标段名称</w:t>
      </w:r>
      <w:r>
        <w:rPr>
          <w:rStyle w:val="14"/>
          <w:rFonts w:hint="eastAsia" w:ascii="Times New Roman" w:hAnsi="Times New Roman" w:eastAsia="宋体" w:cs="Times New Roman"/>
          <w:szCs w:val="21"/>
          <w:highlight w:val="white"/>
          <w:u w:val="single"/>
        </w:rPr>
        <w:t xml:space="preserve">   </w:t>
      </w:r>
      <w:r>
        <w:rPr>
          <w:rStyle w:val="14"/>
          <w:rFonts w:ascii="Times New Roman" w:hAnsi="Times New Roman" w:eastAsia="宋体" w:cs="Times New Roman"/>
          <w:szCs w:val="21"/>
          <w:highlight w:val="white"/>
        </w:rPr>
        <w:t>招标文件全部内容。经</w:t>
      </w:r>
      <w:r>
        <w:rPr>
          <w:rStyle w:val="14"/>
          <w:rFonts w:hint="eastAsia" w:ascii="Times New Roman" w:hAnsi="Times New Roman" w:eastAsia="宋体" w:cs="Times New Roman"/>
          <w:szCs w:val="21"/>
          <w:highlight w:val="white"/>
        </w:rPr>
        <w:t>我方</w:t>
      </w:r>
      <w:r>
        <w:rPr>
          <w:rStyle w:val="14"/>
          <w:rFonts w:ascii="Times New Roman" w:hAnsi="Times New Roman" w:eastAsia="宋体" w:cs="Times New Roman"/>
          <w:szCs w:val="21"/>
          <w:highlight w:val="white"/>
        </w:rPr>
        <w:t>认真严格审查，我方拟派本项目负责人</w:t>
      </w:r>
      <w:r>
        <w:rPr>
          <w:rStyle w:val="14"/>
          <w:rFonts w:hint="eastAsia" w:ascii="Times New Roman" w:hAnsi="Times New Roman" w:eastAsia="宋体" w:cs="Times New Roman"/>
          <w:szCs w:val="21"/>
          <w:highlight w:val="white"/>
          <w:u w:val="single"/>
        </w:rPr>
        <w:t xml:space="preserve">   </w:t>
      </w:r>
      <w:r>
        <w:rPr>
          <w:rStyle w:val="14"/>
          <w:rFonts w:ascii="Times New Roman" w:hAnsi="Times New Roman" w:eastAsia="宋体" w:cs="Times New Roman"/>
          <w:szCs w:val="21"/>
          <w:highlight w:val="white"/>
          <w:u w:val="single"/>
        </w:rPr>
        <w:t>（姓名）</w:t>
      </w:r>
      <w:r>
        <w:rPr>
          <w:rStyle w:val="14"/>
          <w:rFonts w:hint="eastAsia" w:ascii="Times New Roman" w:hAnsi="Times New Roman" w:eastAsia="宋体" w:cs="Times New Roman"/>
          <w:szCs w:val="21"/>
          <w:highlight w:val="white"/>
          <w:u w:val="single"/>
        </w:rPr>
        <w:t xml:space="preserve">   </w:t>
      </w:r>
      <w:r>
        <w:rPr>
          <w:rStyle w:val="14"/>
          <w:rFonts w:ascii="Times New Roman" w:hAnsi="Times New Roman" w:eastAsia="宋体" w:cs="Times New Roman"/>
          <w:szCs w:val="21"/>
          <w:highlight w:val="white"/>
        </w:rPr>
        <w:t>，</w:t>
      </w:r>
      <w:r>
        <w:rPr>
          <w:rStyle w:val="14"/>
          <w:rFonts w:hint="eastAsia" w:ascii="Times New Roman" w:hAnsi="Times New Roman" w:eastAsia="宋体" w:cs="Times New Roman"/>
          <w:szCs w:val="21"/>
          <w:highlight w:val="white"/>
          <w:u w:val="single"/>
        </w:rPr>
        <w:t xml:space="preserve">   </w:t>
      </w:r>
      <w:r>
        <w:rPr>
          <w:rStyle w:val="14"/>
          <w:rFonts w:ascii="Times New Roman" w:hAnsi="Times New Roman" w:eastAsia="宋体" w:cs="Times New Roman"/>
          <w:szCs w:val="21"/>
          <w:highlight w:val="white"/>
          <w:u w:val="single"/>
        </w:rPr>
        <w:t>（身份证号）</w:t>
      </w:r>
      <w:r>
        <w:rPr>
          <w:rStyle w:val="14"/>
          <w:rFonts w:hint="eastAsia" w:ascii="Times New Roman" w:hAnsi="Times New Roman" w:eastAsia="宋体" w:cs="Times New Roman"/>
          <w:szCs w:val="21"/>
          <w:highlight w:val="white"/>
          <w:u w:val="single"/>
        </w:rPr>
        <w:t xml:space="preserve">   </w:t>
      </w:r>
      <w:r>
        <w:rPr>
          <w:rStyle w:val="14"/>
          <w:rFonts w:ascii="Times New Roman" w:hAnsi="Times New Roman" w:eastAsia="宋体" w:cs="Times New Roman"/>
          <w:szCs w:val="21"/>
          <w:highlight w:val="white"/>
        </w:rPr>
        <w:t>，自本项目投标文件递交截止时间起，已符合下列规定条件</w:t>
      </w:r>
      <w:r>
        <w:rPr>
          <w:rStyle w:val="14"/>
          <w:rFonts w:hint="eastAsia" w:ascii="Times New Roman" w:hAnsi="Times New Roman" w:eastAsia="宋体" w:cs="Times New Roman"/>
          <w:szCs w:val="21"/>
          <w:highlight w:val="white"/>
        </w:rPr>
        <w:t>：</w:t>
      </w:r>
    </w:p>
    <w:p>
      <w:pPr>
        <w:pStyle w:val="75"/>
        <w:widowControl/>
        <w:bidi w:val="0"/>
        <w:spacing w:line="440" w:lineRule="exact"/>
        <w:ind w:firstLine="411" w:firstLineChars="196"/>
        <w:jc w:val="left"/>
        <w:rPr>
          <w:rStyle w:val="14"/>
          <w:rFonts w:hint="eastAsia" w:ascii="Times New Roman" w:hAnsi="Times New Roman" w:eastAsia="宋体" w:cs="Times New Roman"/>
          <w:szCs w:val="21"/>
        </w:rPr>
      </w:pPr>
      <w:r>
        <w:rPr>
          <w:rStyle w:val="14"/>
          <w:rFonts w:ascii="Times New Roman" w:hAnsi="Times New Roman" w:eastAsia="宋体" w:cs="Times New Roman"/>
          <w:szCs w:val="21"/>
          <w:highlight w:val="white"/>
        </w:rPr>
        <w:t>1</w:t>
      </w:r>
      <w:r>
        <w:rPr>
          <w:rStyle w:val="14"/>
          <w:rFonts w:hint="eastAsia" w:ascii="Times New Roman" w:hAnsi="Times New Roman" w:eastAsia="宋体" w:cs="Times New Roman"/>
          <w:szCs w:val="21"/>
          <w:highlight w:val="white"/>
        </w:rPr>
        <w:t>、项目负责人不得同时在两个或者两个以上单位受聘或者执业：</w:t>
      </w:r>
    </w:p>
    <w:p>
      <w:pPr>
        <w:pStyle w:val="75"/>
        <w:widowControl/>
        <w:bidi w:val="0"/>
        <w:spacing w:line="440" w:lineRule="exact"/>
        <w:ind w:firstLine="411" w:firstLineChars="196"/>
        <w:jc w:val="left"/>
        <w:rPr>
          <w:rStyle w:val="14"/>
          <w:rFonts w:hint="eastAsia" w:ascii="Times New Roman" w:hAnsi="Times New Roman" w:eastAsia="宋体" w:cs="Times New Roman"/>
          <w:szCs w:val="21"/>
        </w:rPr>
      </w:pPr>
      <w:r>
        <w:rPr>
          <w:rStyle w:val="14"/>
          <w:rFonts w:hint="eastAsia" w:ascii="Times New Roman" w:hAnsi="Times New Roman" w:eastAsia="宋体" w:cs="Times New Roman"/>
          <w:szCs w:val="21"/>
          <w:highlight w:val="white"/>
        </w:rPr>
        <w:t xml:space="preserve">（1）同时在两个及以上单位签订劳动合同或交纳社会保险； </w:t>
      </w:r>
    </w:p>
    <w:p>
      <w:pPr>
        <w:pStyle w:val="75"/>
        <w:widowControl/>
        <w:bidi w:val="0"/>
        <w:spacing w:line="440" w:lineRule="exact"/>
        <w:ind w:firstLine="411" w:firstLineChars="196"/>
        <w:jc w:val="left"/>
        <w:rPr>
          <w:rStyle w:val="14"/>
          <w:rFonts w:ascii="Times New Roman" w:hAnsi="Times New Roman" w:eastAsia="宋体" w:cs="Times New Roman"/>
          <w:szCs w:val="21"/>
        </w:rPr>
      </w:pPr>
      <w:r>
        <w:rPr>
          <w:rStyle w:val="14"/>
          <w:rFonts w:hint="eastAsia" w:ascii="Times New Roman" w:hAnsi="Times New Roman" w:eastAsia="宋体" w:cs="Times New Roman"/>
          <w:szCs w:val="21"/>
          <w:highlight w:val="white"/>
        </w:rPr>
        <w:t>（2）将本人执（职）业资格证书同时注册在两个及以上单位。</w:t>
      </w:r>
    </w:p>
    <w:p>
      <w:pPr>
        <w:pStyle w:val="75"/>
        <w:widowControl/>
        <w:bidi w:val="0"/>
        <w:spacing w:line="440" w:lineRule="exact"/>
        <w:ind w:firstLine="411" w:firstLineChars="196"/>
        <w:jc w:val="left"/>
        <w:rPr>
          <w:rStyle w:val="14"/>
          <w:rFonts w:ascii="Times New Roman" w:hAnsi="Times New Roman" w:eastAsia="宋体" w:cs="Times New Roman"/>
          <w:szCs w:val="21"/>
        </w:rPr>
      </w:pPr>
      <w:r>
        <w:rPr>
          <w:rStyle w:val="14"/>
          <w:rFonts w:ascii="Times New Roman" w:hAnsi="Times New Roman" w:eastAsia="宋体" w:cs="Times New Roman"/>
          <w:szCs w:val="21"/>
          <w:highlight w:val="white"/>
        </w:rPr>
        <w:t>2</w:t>
      </w:r>
      <w:r>
        <w:rPr>
          <w:rStyle w:val="14"/>
          <w:rFonts w:hint="eastAsia" w:ascii="Times New Roman" w:hAnsi="Times New Roman" w:eastAsia="宋体" w:cs="Times New Roman"/>
          <w:szCs w:val="21"/>
          <w:highlight w:val="white"/>
        </w:rPr>
        <w:t>、项目负责人是非变更后无在建工程，或项目负责人是变更后无在建工程（必须原合同工期已满且变更备案之日已满</w:t>
      </w:r>
      <w:r>
        <w:rPr>
          <w:rStyle w:val="14"/>
          <w:rFonts w:ascii="Times New Roman" w:hAnsi="Times New Roman" w:eastAsia="宋体" w:cs="Times New Roman"/>
          <w:szCs w:val="21"/>
          <w:highlight w:val="white"/>
        </w:rPr>
        <w:t>6</w:t>
      </w:r>
      <w:r>
        <w:rPr>
          <w:rStyle w:val="14"/>
          <w:rFonts w:hint="eastAsia" w:ascii="Times New Roman" w:hAnsi="Times New Roman" w:eastAsia="宋体" w:cs="Times New Roman"/>
          <w:szCs w:val="21"/>
          <w:highlight w:val="white"/>
        </w:rPr>
        <w:t>个月），或因非承包方原因致使工程项目停工或因故不能按期开工、且已办理了项目负责人解锁手续，或项目负责人有在建工程，但该在建工程与本次招标的工程属于同一工程项目、同一项目批文、同一施工地点分段发包或分期施工的情况且总的工程规模在项目负责人执业范围之内。</w:t>
      </w:r>
    </w:p>
    <w:p>
      <w:pPr>
        <w:pStyle w:val="75"/>
        <w:widowControl/>
        <w:bidi w:val="0"/>
        <w:spacing w:line="440" w:lineRule="exact"/>
        <w:ind w:firstLine="411" w:firstLineChars="196"/>
        <w:jc w:val="left"/>
        <w:rPr>
          <w:rStyle w:val="14"/>
          <w:rFonts w:ascii="Times New Roman" w:hAnsi="Times New Roman" w:eastAsia="宋体" w:cs="Times New Roman"/>
          <w:szCs w:val="21"/>
        </w:rPr>
      </w:pPr>
      <w:r>
        <w:rPr>
          <w:rStyle w:val="14"/>
          <w:rFonts w:ascii="Times New Roman" w:hAnsi="Times New Roman" w:eastAsia="宋体" w:cs="Times New Roman"/>
          <w:szCs w:val="21"/>
          <w:highlight w:val="white"/>
        </w:rPr>
        <w:t>3</w:t>
      </w:r>
      <w:r>
        <w:rPr>
          <w:rStyle w:val="14"/>
          <w:rFonts w:hint="eastAsia" w:ascii="Times New Roman" w:hAnsi="Times New Roman" w:eastAsia="宋体" w:cs="Times New Roman"/>
          <w:szCs w:val="21"/>
          <w:highlight w:val="white"/>
        </w:rPr>
        <w:t>、项目负责人无行贿犯罪行为记录；或者有行贿犯罪行为记录，但自记录之日起已超过</w:t>
      </w:r>
      <w:r>
        <w:rPr>
          <w:rStyle w:val="14"/>
          <w:rFonts w:ascii="Times New Roman" w:hAnsi="Times New Roman" w:eastAsia="宋体" w:cs="Times New Roman"/>
          <w:szCs w:val="21"/>
          <w:highlight w:val="white"/>
        </w:rPr>
        <w:t>5</w:t>
      </w:r>
      <w:r>
        <w:rPr>
          <w:rStyle w:val="14"/>
          <w:rFonts w:hint="eastAsia" w:ascii="Times New Roman" w:hAnsi="Times New Roman" w:eastAsia="宋体" w:cs="Times New Roman"/>
          <w:szCs w:val="21"/>
          <w:highlight w:val="white"/>
        </w:rPr>
        <w:t>年的。</w:t>
      </w:r>
    </w:p>
    <w:p>
      <w:pPr>
        <w:pStyle w:val="75"/>
        <w:widowControl/>
        <w:bidi w:val="0"/>
        <w:spacing w:line="440" w:lineRule="exact"/>
        <w:ind w:firstLine="411" w:firstLineChars="196"/>
        <w:jc w:val="left"/>
        <w:rPr>
          <w:rStyle w:val="14"/>
          <w:rFonts w:ascii="Times New Roman" w:hAnsi="Times New Roman" w:eastAsia="宋体" w:cs="Times New Roman"/>
          <w:szCs w:val="21"/>
        </w:rPr>
      </w:pPr>
      <w:r>
        <w:rPr>
          <w:rStyle w:val="14"/>
          <w:rFonts w:hint="eastAsia" w:ascii="Times New Roman" w:hAnsi="Times New Roman" w:eastAsia="宋体" w:cs="Times New Roman"/>
          <w:szCs w:val="21"/>
          <w:highlight w:val="white"/>
        </w:rPr>
        <w:t>如</w:t>
      </w:r>
      <w:r>
        <w:rPr>
          <w:rStyle w:val="14"/>
          <w:rFonts w:ascii="Times New Roman" w:hAnsi="Times New Roman" w:eastAsia="宋体" w:cs="Times New Roman"/>
          <w:szCs w:val="21"/>
          <w:highlight w:val="white"/>
        </w:rPr>
        <w:t>我方投标文件中拟派本项目负责人</w:t>
      </w:r>
      <w:r>
        <w:rPr>
          <w:rStyle w:val="14"/>
          <w:rFonts w:hint="eastAsia" w:ascii="Times New Roman" w:hAnsi="Times New Roman" w:eastAsia="宋体" w:cs="Times New Roman"/>
          <w:szCs w:val="21"/>
          <w:highlight w:val="white"/>
        </w:rPr>
        <w:t>不符合上述规定条件的，</w:t>
      </w:r>
      <w:r>
        <w:rPr>
          <w:rStyle w:val="14"/>
          <w:rFonts w:ascii="Times New Roman" w:hAnsi="Times New Roman" w:eastAsia="宋体" w:cs="Times New Roman"/>
          <w:szCs w:val="21"/>
          <w:highlight w:val="white"/>
        </w:rPr>
        <w:t>即视为我方弄虚作假投标，我方理解并自愿接受招投标监管等部门依据相关规定，作出的不退还我方投标保证金、列入不良行为限制参与招标投标活动、按照弄虚作假骗取中标情节严重的行为进行处罚等处理。</w:t>
      </w:r>
    </w:p>
    <w:p>
      <w:pPr>
        <w:pStyle w:val="75"/>
        <w:widowControl/>
        <w:bidi w:val="0"/>
        <w:spacing w:line="440" w:lineRule="exact"/>
        <w:ind w:firstLine="411" w:firstLineChars="196"/>
        <w:jc w:val="left"/>
        <w:rPr>
          <w:rStyle w:val="14"/>
          <w:rFonts w:ascii="Times New Roman" w:hAnsi="Times New Roman" w:eastAsia="宋体" w:cs="Times New Roman"/>
          <w:szCs w:val="21"/>
        </w:rPr>
      </w:pPr>
      <w:r>
        <w:rPr>
          <w:rStyle w:val="14"/>
          <w:rFonts w:ascii="Times New Roman" w:hAnsi="Times New Roman" w:eastAsia="宋体" w:cs="Times New Roman"/>
          <w:szCs w:val="21"/>
          <w:highlight w:val="white"/>
        </w:rPr>
        <w:t>我方同时承诺所派项目负责人的社保是真实有效的，且同期未在两个及以上城市缴纳。否则，视同我单位不响应招标文件要求作无效标处理，并自愿接受列入不良行为、限制参与招标投标活动等相关处理。</w:t>
      </w:r>
    </w:p>
    <w:p>
      <w:pPr>
        <w:pStyle w:val="75"/>
        <w:widowControl/>
        <w:bidi w:val="0"/>
        <w:spacing w:line="440" w:lineRule="exact"/>
        <w:ind w:firstLine="411" w:firstLineChars="196"/>
        <w:jc w:val="left"/>
        <w:rPr>
          <w:rStyle w:val="14"/>
          <w:rFonts w:ascii="Times New Roman" w:hAnsi="Times New Roman" w:eastAsia="宋体" w:cs="Times New Roman"/>
          <w:szCs w:val="21"/>
        </w:rPr>
      </w:pPr>
      <w:r>
        <w:rPr>
          <w:rStyle w:val="14"/>
          <w:rFonts w:ascii="Times New Roman" w:hAnsi="Times New Roman" w:eastAsia="宋体" w:cs="Times New Roman"/>
          <w:szCs w:val="21"/>
          <w:highlight w:val="white"/>
        </w:rPr>
        <w:t>注：</w:t>
      </w:r>
      <w:r>
        <w:rPr>
          <w:rStyle w:val="14"/>
          <w:rFonts w:hint="eastAsia" w:ascii="Times New Roman" w:hAnsi="Times New Roman" w:eastAsia="宋体" w:cs="Times New Roman"/>
          <w:szCs w:val="21"/>
          <w:highlight w:val="white"/>
        </w:rPr>
        <w:t>在建工程处于中标结果公告（直接发包的项目以网上合同备案为准）到合同约定的工程全部完成且竣工验收合格期间的工程。竣工验收证明是指由建设单位（或监理）组织工程建设各方验收合格，并签署相应的单位工程质量竣工验收记录或者分部工程质量验收记录等验收文件。</w:t>
      </w:r>
    </w:p>
    <w:p>
      <w:pPr>
        <w:pStyle w:val="75"/>
        <w:widowControl/>
        <w:bidi w:val="0"/>
        <w:spacing w:line="440" w:lineRule="exact"/>
        <w:jc w:val="left"/>
        <w:rPr>
          <w:rStyle w:val="14"/>
          <w:rFonts w:ascii="Times New Roman" w:hAnsi="Times New Roman" w:eastAsia="宋体" w:cs="Times New Roman"/>
          <w:szCs w:val="21"/>
        </w:rPr>
      </w:pPr>
    </w:p>
    <w:p>
      <w:pPr>
        <w:pStyle w:val="75"/>
        <w:bidi w:val="0"/>
        <w:spacing w:line="440" w:lineRule="exact"/>
        <w:rPr>
          <w:rStyle w:val="14"/>
          <w:rFonts w:ascii="Times New Roman" w:hAnsi="Times New Roman" w:eastAsia="宋体" w:cs="Times New Roman"/>
          <w:szCs w:val="21"/>
        </w:rPr>
      </w:pPr>
    </w:p>
    <w:p>
      <w:pPr>
        <w:pStyle w:val="76"/>
        <w:bidi w:val="0"/>
        <w:spacing w:line="560" w:lineRule="exact"/>
        <w:ind w:firstLine="3150" w:firstLineChars="1500"/>
        <w:rPr>
          <w:rStyle w:val="14"/>
          <w:rFonts w:ascii="Times New Roman" w:hAnsi="Times New Roman" w:eastAsia="宋体" w:cs="Times New Roman"/>
          <w:szCs w:val="21"/>
        </w:rPr>
      </w:pPr>
      <w:r>
        <w:rPr>
          <w:rStyle w:val="14"/>
          <w:rFonts w:ascii="Times New Roman" w:hAnsi="Times New Roman" w:eastAsia="宋体" w:cs="Times New Roman"/>
          <w:szCs w:val="21"/>
          <w:highlight w:val="white"/>
        </w:rPr>
        <w:t>投标人：</w:t>
      </w:r>
      <w:r>
        <w:rPr>
          <w:rStyle w:val="14"/>
          <w:rFonts w:ascii="Times New Roman" w:hAnsi="Times New Roman" w:eastAsia="宋体" w:cs="Times New Roman"/>
          <w:szCs w:val="21"/>
          <w:highlight w:val="white"/>
          <w:u w:val="single"/>
        </w:rPr>
        <w:t xml:space="preserve">                 </w:t>
      </w:r>
      <w:r>
        <w:rPr>
          <w:rStyle w:val="14"/>
          <w:rFonts w:ascii="Times New Roman" w:hAnsi="Times New Roman" w:eastAsia="宋体" w:cs="Times New Roman"/>
          <w:szCs w:val="21"/>
          <w:highlight w:val="white"/>
        </w:rPr>
        <w:t>（</w:t>
      </w:r>
      <w:r>
        <w:rPr>
          <w:rStyle w:val="14"/>
          <w:rFonts w:hint="eastAsia" w:ascii="Times New Roman" w:hAnsi="Times New Roman" w:cs="Times New Roman"/>
          <w:szCs w:val="21"/>
          <w:highlight w:val="white"/>
          <w:lang w:val="en-US" w:eastAsia="zh-CN"/>
        </w:rPr>
        <w:t>单位公章</w:t>
      </w:r>
      <w:r>
        <w:rPr>
          <w:rStyle w:val="14"/>
          <w:rFonts w:ascii="Times New Roman" w:hAnsi="Times New Roman" w:eastAsia="宋体" w:cs="Times New Roman"/>
          <w:szCs w:val="21"/>
          <w:highlight w:val="white"/>
        </w:rPr>
        <w:t>）</w:t>
      </w:r>
    </w:p>
    <w:p>
      <w:pPr>
        <w:pStyle w:val="76"/>
        <w:bidi w:val="0"/>
        <w:spacing w:line="560" w:lineRule="exact"/>
        <w:ind w:firstLine="525" w:firstLineChars="250"/>
        <w:rPr>
          <w:rStyle w:val="14"/>
          <w:rFonts w:ascii="Times New Roman" w:hAnsi="Times New Roman" w:eastAsia="宋体" w:cs="Times New Roman"/>
          <w:szCs w:val="21"/>
        </w:rPr>
      </w:pPr>
      <w:r>
        <w:rPr>
          <w:rStyle w:val="14"/>
          <w:rFonts w:ascii="Times New Roman" w:hAnsi="Times New Roman" w:eastAsia="宋体" w:cs="Times New Roman"/>
          <w:szCs w:val="21"/>
          <w:highlight w:val="white"/>
        </w:rPr>
        <w:t xml:space="preserve">                         法定代表人：</w:t>
      </w:r>
      <w:r>
        <w:rPr>
          <w:rStyle w:val="14"/>
          <w:rFonts w:ascii="Times New Roman" w:hAnsi="Times New Roman" w:eastAsia="宋体" w:cs="Times New Roman"/>
          <w:szCs w:val="21"/>
          <w:highlight w:val="white"/>
          <w:u w:val="single"/>
        </w:rPr>
        <w:t xml:space="preserve">              </w:t>
      </w:r>
      <w:r>
        <w:rPr>
          <w:rStyle w:val="14"/>
          <w:rFonts w:ascii="Times New Roman" w:hAnsi="Times New Roman" w:eastAsia="宋体" w:cs="Times New Roman"/>
          <w:szCs w:val="21"/>
          <w:highlight w:val="white"/>
        </w:rPr>
        <w:t>（</w:t>
      </w:r>
      <w:r>
        <w:rPr>
          <w:rStyle w:val="14"/>
          <w:rFonts w:hint="eastAsia" w:ascii="Times New Roman" w:hAnsi="Times New Roman" w:cs="Times New Roman"/>
          <w:szCs w:val="21"/>
          <w:highlight w:val="white"/>
          <w:lang w:val="en-US" w:eastAsia="zh-CN"/>
        </w:rPr>
        <w:t>签字或</w:t>
      </w:r>
      <w:r>
        <w:rPr>
          <w:rStyle w:val="14"/>
          <w:rFonts w:ascii="Times New Roman" w:hAnsi="Times New Roman" w:eastAsia="宋体" w:cs="Times New Roman"/>
          <w:szCs w:val="21"/>
          <w:highlight w:val="white"/>
        </w:rPr>
        <w:t>签章）</w:t>
      </w:r>
    </w:p>
    <w:p>
      <w:pPr>
        <w:pStyle w:val="77"/>
        <w:bidi w:val="0"/>
        <w:rPr>
          <w:rStyle w:val="14"/>
          <w:rFonts w:ascii="Calibri" w:hAnsi="Calibri" w:eastAsia="宋体" w:cs="Times New Roman"/>
        </w:rPr>
      </w:pPr>
      <w:r>
        <w:rPr>
          <w:rStyle w:val="14"/>
          <w:rFonts w:ascii="Times New Roman" w:hAnsi="Times New Roman" w:eastAsia="宋体" w:cs="Times New Roman"/>
          <w:szCs w:val="21"/>
          <w:highlight w:val="white"/>
        </w:rPr>
        <w:t xml:space="preserve">                          日期：</w:t>
      </w:r>
      <w:r>
        <w:rPr>
          <w:rStyle w:val="14"/>
          <w:rFonts w:ascii="Times New Roman" w:hAnsi="Times New Roman" w:eastAsia="宋体" w:cs="Times New Roman"/>
          <w:szCs w:val="21"/>
          <w:highlight w:val="white"/>
          <w:u w:val="single"/>
          <w:lang w:val="zh-CN"/>
        </w:rPr>
        <w:t xml:space="preserve">      </w:t>
      </w:r>
      <w:r>
        <w:rPr>
          <w:rStyle w:val="14"/>
          <w:rFonts w:ascii="Times New Roman" w:hAnsi="Times New Roman" w:eastAsia="宋体" w:cs="Times New Roman"/>
          <w:szCs w:val="21"/>
          <w:highlight w:val="white"/>
          <w:lang w:val="zh-CN"/>
        </w:rPr>
        <w:t>年</w:t>
      </w:r>
      <w:r>
        <w:rPr>
          <w:rStyle w:val="14"/>
          <w:rFonts w:ascii="Times New Roman" w:hAnsi="Times New Roman" w:eastAsia="宋体" w:cs="Times New Roman"/>
          <w:szCs w:val="21"/>
          <w:highlight w:val="white"/>
          <w:u w:val="single"/>
          <w:lang w:val="zh-CN"/>
        </w:rPr>
        <w:t xml:space="preserve">       </w:t>
      </w:r>
      <w:r>
        <w:rPr>
          <w:rStyle w:val="14"/>
          <w:rFonts w:ascii="Times New Roman" w:hAnsi="Times New Roman" w:eastAsia="宋体" w:cs="Times New Roman"/>
          <w:szCs w:val="21"/>
          <w:highlight w:val="white"/>
          <w:lang w:val="zh-CN"/>
        </w:rPr>
        <w:t>月</w:t>
      </w:r>
      <w:r>
        <w:rPr>
          <w:rStyle w:val="14"/>
          <w:rFonts w:ascii="Times New Roman" w:hAnsi="Times New Roman" w:eastAsia="宋体" w:cs="Times New Roman"/>
          <w:szCs w:val="21"/>
          <w:highlight w:val="white"/>
          <w:u w:val="single"/>
          <w:lang w:val="zh-CN"/>
        </w:rPr>
        <w:t xml:space="preserve">      </w:t>
      </w:r>
      <w:r>
        <w:rPr>
          <w:rStyle w:val="14"/>
          <w:rFonts w:ascii="Times New Roman" w:hAnsi="Times New Roman" w:eastAsia="宋体" w:cs="Times New Roman"/>
          <w:szCs w:val="21"/>
          <w:highlight w:val="white"/>
          <w:lang w:val="zh-CN"/>
        </w:rPr>
        <w:t>日</w:t>
      </w:r>
    </w:p>
    <w:p>
      <w:pPr>
        <w:pStyle w:val="78"/>
        <w:bidi w:val="0"/>
        <w:jc w:val="left"/>
        <w:outlineLvl w:val="1"/>
        <w:rPr>
          <w:rStyle w:val="14"/>
        </w:rPr>
      </w:pPr>
      <w:r>
        <w:rPr>
          <w:rStyle w:val="14"/>
          <w:highlight w:val="white"/>
        </w:rPr>
        <w:br w:type="page"/>
      </w:r>
      <w:bookmarkStart w:id="656" w:name="_Toc8262"/>
      <w:r>
        <w:rPr>
          <w:rStyle w:val="14"/>
          <w:highlight w:val="white"/>
        </w:rPr>
        <w:t>十三、投标文件商务条款及技术条款偏离表</w:t>
      </w:r>
      <w:bookmarkEnd w:id="656"/>
    </w:p>
    <w:p>
      <w:pPr>
        <w:pStyle w:val="79"/>
        <w:bidi w:val="0"/>
        <w:rPr>
          <w:rStyle w:val="14"/>
          <w:rFonts w:hint="eastAsia" w:ascii="Calibri" w:hAnsi="Calibri" w:eastAsia="宋体" w:cs="Times New Roman"/>
        </w:rPr>
      </w:pPr>
    </w:p>
    <w:p>
      <w:pPr>
        <w:pStyle w:val="80"/>
        <w:autoSpaceDE w:val="0"/>
        <w:autoSpaceDN w:val="0"/>
        <w:bidi w:val="0"/>
        <w:adjustRightInd w:val="0"/>
        <w:spacing w:line="360" w:lineRule="exact"/>
        <w:jc w:val="center"/>
        <w:outlineLvl w:val="0"/>
        <w:rPr>
          <w:rStyle w:val="14"/>
          <w:rFonts w:ascii="Calibri" w:hAnsi="Calibri" w:eastAsia="宋体" w:cs="Times New Roman"/>
          <w:sz w:val="28"/>
          <w:szCs w:val="28"/>
          <w:lang w:val="zh-CN"/>
        </w:rPr>
      </w:pPr>
      <w:bookmarkStart w:id="657" w:name="_Toc16806"/>
      <w:r>
        <w:rPr>
          <w:rStyle w:val="14"/>
          <w:rFonts w:hint="eastAsia" w:ascii="Calibri" w:hAnsi="宋体" w:eastAsia="宋体" w:cs="Times New Roman"/>
          <w:sz w:val="28"/>
          <w:szCs w:val="28"/>
          <w:highlight w:val="white"/>
          <w:lang w:val="zh-CN"/>
        </w:rPr>
        <w:t>（投标文件与招标文件的偏离）</w:t>
      </w:r>
      <w:bookmarkEnd w:id="657"/>
    </w:p>
    <w:p>
      <w:pPr>
        <w:pStyle w:val="80"/>
        <w:autoSpaceDE w:val="0"/>
        <w:autoSpaceDN w:val="0"/>
        <w:bidi w:val="0"/>
        <w:adjustRightInd w:val="0"/>
        <w:spacing w:line="360" w:lineRule="exact"/>
        <w:rPr>
          <w:rStyle w:val="14"/>
          <w:rFonts w:ascii="Calibri" w:hAnsi="Calibri" w:eastAsia="宋体" w:cs="Times New Roman"/>
          <w:szCs w:val="21"/>
          <w:lang w:val="zh-CN"/>
        </w:rPr>
      </w:pPr>
      <w:r>
        <w:rPr>
          <w:rStyle w:val="14"/>
          <w:rFonts w:hint="eastAsia" w:ascii="Calibri" w:hAnsi="宋体" w:eastAsia="宋体" w:cs="Times New Roman"/>
          <w:szCs w:val="21"/>
          <w:highlight w:val="white"/>
          <w:lang w:val="zh-CN"/>
        </w:rPr>
        <w:t>建设单位：</w:t>
      </w:r>
    </w:p>
    <w:p>
      <w:pPr>
        <w:pStyle w:val="80"/>
        <w:autoSpaceDE w:val="0"/>
        <w:autoSpaceDN w:val="0"/>
        <w:bidi w:val="0"/>
        <w:adjustRightInd w:val="0"/>
        <w:spacing w:line="360" w:lineRule="exact"/>
        <w:rPr>
          <w:rStyle w:val="14"/>
          <w:rFonts w:ascii="Calibri" w:hAnsi="Calibri" w:eastAsia="宋体" w:cs="Times New Roman"/>
          <w:szCs w:val="21"/>
          <w:lang w:val="zh-CN"/>
        </w:rPr>
      </w:pPr>
      <w:r>
        <w:rPr>
          <w:rStyle w:val="14"/>
          <w:rFonts w:hint="eastAsia" w:ascii="Calibri" w:hAnsi="宋体" w:eastAsia="宋体" w:cs="Times New Roman"/>
          <w:szCs w:val="21"/>
          <w:highlight w:val="white"/>
          <w:lang w:val="zh-CN"/>
        </w:rPr>
        <w:t>招标项目：</w:t>
      </w:r>
    </w:p>
    <w:tbl>
      <w:tblPr>
        <w:tblStyle w:val="13"/>
        <w:tblW w:w="8280" w:type="dxa"/>
        <w:tblInd w:w="108" w:type="dxa"/>
        <w:tblLayout w:type="fixed"/>
        <w:tblCellMar>
          <w:top w:w="0" w:type="dxa"/>
          <w:left w:w="108" w:type="dxa"/>
          <w:bottom w:w="0" w:type="dxa"/>
          <w:right w:w="108" w:type="dxa"/>
        </w:tblCellMar>
      </w:tblPr>
      <w:tblGrid>
        <w:gridCol w:w="1267"/>
        <w:gridCol w:w="1620"/>
        <w:gridCol w:w="2340"/>
        <w:gridCol w:w="1973"/>
        <w:gridCol w:w="1080"/>
      </w:tblGrid>
      <w:tr>
        <w:tblPrEx>
          <w:tblCellMar>
            <w:top w:w="0" w:type="dxa"/>
            <w:left w:w="108" w:type="dxa"/>
            <w:bottom w:w="0" w:type="dxa"/>
            <w:right w:w="108" w:type="dxa"/>
          </w:tblCellMar>
        </w:tblPrEx>
        <w:tc>
          <w:tcPr>
            <w:tcW w:w="1267" w:type="dxa"/>
            <w:tcBorders>
              <w:top w:val="single" w:color="auto" w:sz="6" w:space="0"/>
              <w:left w:val="single" w:color="auto" w:sz="6" w:space="0"/>
              <w:bottom w:val="single" w:color="auto" w:sz="6" w:space="0"/>
              <w:right w:val="single" w:color="auto" w:sz="6" w:space="0"/>
            </w:tcBorders>
            <w:noWrap w:val="0"/>
            <w:vAlign w:val="center"/>
          </w:tcPr>
          <w:p>
            <w:pPr>
              <w:pStyle w:val="80"/>
              <w:widowControl w:val="0"/>
              <w:autoSpaceDE w:val="0"/>
              <w:autoSpaceDN w:val="0"/>
              <w:bidi w:val="0"/>
              <w:adjustRightInd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Calibri" w:hAnsi="宋体" w:eastAsia="宋体" w:cs="Times New Roman"/>
                <w:kern w:val="2"/>
                <w:sz w:val="21"/>
                <w:szCs w:val="21"/>
                <w:highlight w:val="white"/>
                <w:lang w:val="zh-CN" w:eastAsia="zh-CN" w:bidi="ar-SA"/>
              </w:rPr>
              <w:t>序号</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pStyle w:val="80"/>
              <w:widowControl w:val="0"/>
              <w:autoSpaceDE w:val="0"/>
              <w:autoSpaceDN w:val="0"/>
              <w:bidi w:val="0"/>
              <w:adjustRightInd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Calibri" w:hAnsi="宋体" w:eastAsia="宋体" w:cs="Times New Roman"/>
                <w:kern w:val="2"/>
                <w:sz w:val="21"/>
                <w:szCs w:val="21"/>
                <w:highlight w:val="white"/>
                <w:lang w:val="zh-CN" w:eastAsia="zh-CN" w:bidi="ar-SA"/>
              </w:rPr>
              <w:t>招标文件条目号</w:t>
            </w:r>
          </w:p>
        </w:tc>
        <w:tc>
          <w:tcPr>
            <w:tcW w:w="2340" w:type="dxa"/>
            <w:tcBorders>
              <w:top w:val="single" w:color="auto" w:sz="6" w:space="0"/>
              <w:left w:val="single" w:color="auto" w:sz="6" w:space="0"/>
              <w:bottom w:val="single" w:color="auto" w:sz="6" w:space="0"/>
              <w:right w:val="single" w:color="auto" w:sz="6" w:space="0"/>
            </w:tcBorders>
            <w:noWrap w:val="0"/>
            <w:vAlign w:val="center"/>
          </w:tcPr>
          <w:p>
            <w:pPr>
              <w:pStyle w:val="80"/>
              <w:widowControl w:val="0"/>
              <w:autoSpaceDE w:val="0"/>
              <w:autoSpaceDN w:val="0"/>
              <w:bidi w:val="0"/>
              <w:adjustRightInd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Calibri" w:hAnsi="宋体" w:eastAsia="宋体" w:cs="Times New Roman"/>
                <w:kern w:val="2"/>
                <w:sz w:val="21"/>
                <w:szCs w:val="21"/>
                <w:highlight w:val="white"/>
                <w:lang w:val="zh-CN" w:eastAsia="zh-CN" w:bidi="ar-SA"/>
              </w:rPr>
              <w:t>招标文件的条款</w:t>
            </w:r>
          </w:p>
        </w:tc>
        <w:tc>
          <w:tcPr>
            <w:tcW w:w="1973" w:type="dxa"/>
            <w:tcBorders>
              <w:top w:val="single" w:color="auto" w:sz="6" w:space="0"/>
              <w:left w:val="single" w:color="auto" w:sz="6" w:space="0"/>
              <w:bottom w:val="single" w:color="auto" w:sz="6" w:space="0"/>
              <w:right w:val="single" w:color="auto" w:sz="6" w:space="0"/>
            </w:tcBorders>
            <w:noWrap w:val="0"/>
            <w:vAlign w:val="center"/>
          </w:tcPr>
          <w:p>
            <w:pPr>
              <w:pStyle w:val="80"/>
              <w:widowControl w:val="0"/>
              <w:autoSpaceDE w:val="0"/>
              <w:autoSpaceDN w:val="0"/>
              <w:bidi w:val="0"/>
              <w:adjustRightInd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Calibri" w:hAnsi="宋体" w:eastAsia="宋体" w:cs="Times New Roman"/>
                <w:kern w:val="2"/>
                <w:sz w:val="21"/>
                <w:szCs w:val="21"/>
                <w:highlight w:val="white"/>
                <w:lang w:val="zh-CN" w:eastAsia="zh-CN" w:bidi="ar-SA"/>
              </w:rPr>
              <w:t>投标文件的条款</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pStyle w:val="80"/>
              <w:widowControl w:val="0"/>
              <w:autoSpaceDE w:val="0"/>
              <w:autoSpaceDN w:val="0"/>
              <w:bidi w:val="0"/>
              <w:adjustRightInd w:val="0"/>
              <w:spacing w:line="360" w:lineRule="exact"/>
              <w:jc w:val="center"/>
              <w:rPr>
                <w:rStyle w:val="14"/>
                <w:rFonts w:ascii="Calibri" w:hAnsi="Calibri" w:eastAsia="宋体" w:cs="Times New Roman"/>
                <w:kern w:val="2"/>
                <w:sz w:val="21"/>
                <w:szCs w:val="21"/>
                <w:lang w:val="en-US" w:eastAsia="zh-CN" w:bidi="ar-SA"/>
              </w:rPr>
            </w:pPr>
            <w:r>
              <w:rPr>
                <w:rStyle w:val="14"/>
                <w:rFonts w:hint="eastAsia" w:ascii="Calibri" w:hAnsi="宋体" w:eastAsia="宋体" w:cs="Times New Roman"/>
                <w:kern w:val="2"/>
                <w:sz w:val="21"/>
                <w:szCs w:val="21"/>
                <w:highlight w:val="white"/>
                <w:lang w:val="zh-CN" w:eastAsia="zh-CN" w:bidi="ar-SA"/>
              </w:rPr>
              <w:t>说明</w:t>
            </w:r>
          </w:p>
        </w:tc>
      </w:tr>
      <w:tr>
        <w:tblPrEx>
          <w:tblCellMar>
            <w:top w:w="0" w:type="dxa"/>
            <w:left w:w="108" w:type="dxa"/>
            <w:bottom w:w="0" w:type="dxa"/>
            <w:right w:w="108" w:type="dxa"/>
          </w:tblCellMar>
        </w:tblPrEx>
        <w:trPr>
          <w:trHeight w:val="705" w:hRule="atLeast"/>
        </w:trPr>
        <w:tc>
          <w:tcPr>
            <w:tcW w:w="1267"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234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973"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705" w:hRule="atLeast"/>
        </w:trPr>
        <w:tc>
          <w:tcPr>
            <w:tcW w:w="1267"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234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973"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705" w:hRule="atLeast"/>
        </w:trPr>
        <w:tc>
          <w:tcPr>
            <w:tcW w:w="1267"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234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973"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705" w:hRule="atLeast"/>
        </w:trPr>
        <w:tc>
          <w:tcPr>
            <w:tcW w:w="1267"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234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973"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r>
      <w:tr>
        <w:tblPrEx>
          <w:tblCellMar>
            <w:top w:w="0" w:type="dxa"/>
            <w:left w:w="108" w:type="dxa"/>
            <w:bottom w:w="0" w:type="dxa"/>
            <w:right w:w="108" w:type="dxa"/>
          </w:tblCellMar>
        </w:tblPrEx>
        <w:trPr>
          <w:trHeight w:val="705" w:hRule="atLeast"/>
        </w:trPr>
        <w:tc>
          <w:tcPr>
            <w:tcW w:w="1267"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234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973"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pStyle w:val="80"/>
              <w:widowControl w:val="0"/>
              <w:autoSpaceDE w:val="0"/>
              <w:autoSpaceDN w:val="0"/>
              <w:bidi w:val="0"/>
              <w:adjustRightInd w:val="0"/>
              <w:spacing w:line="360" w:lineRule="exact"/>
              <w:jc w:val="both"/>
              <w:rPr>
                <w:rStyle w:val="14"/>
                <w:rFonts w:ascii="Calibri" w:hAnsi="Calibri" w:eastAsia="宋体" w:cs="Times New Roman"/>
                <w:kern w:val="2"/>
                <w:sz w:val="21"/>
                <w:szCs w:val="21"/>
                <w:lang w:val="en-US" w:eastAsia="zh-CN" w:bidi="ar-SA"/>
              </w:rPr>
            </w:pPr>
          </w:p>
        </w:tc>
      </w:tr>
    </w:tbl>
    <w:p>
      <w:pPr>
        <w:pStyle w:val="80"/>
        <w:autoSpaceDE w:val="0"/>
        <w:autoSpaceDN w:val="0"/>
        <w:bidi w:val="0"/>
        <w:adjustRightInd w:val="0"/>
        <w:spacing w:line="360" w:lineRule="exact"/>
        <w:ind w:firstLine="480"/>
        <w:rPr>
          <w:rStyle w:val="14"/>
          <w:rFonts w:ascii="Calibri" w:hAnsi="Calibri" w:eastAsia="宋体" w:cs="Times New Roman"/>
          <w:szCs w:val="21"/>
        </w:rPr>
      </w:pPr>
      <w:r>
        <w:rPr>
          <w:rStyle w:val="14"/>
          <w:rFonts w:hint="eastAsia" w:ascii="Calibri" w:hAnsi="宋体" w:eastAsia="宋体" w:cs="Times New Roman"/>
          <w:szCs w:val="21"/>
          <w:highlight w:val="white"/>
          <w:lang w:val="zh-CN"/>
        </w:rPr>
        <w:t>此表可按格式自行扩展。</w:t>
      </w:r>
    </w:p>
    <w:p>
      <w:pPr>
        <w:pStyle w:val="80"/>
        <w:autoSpaceDE w:val="0"/>
        <w:autoSpaceDN w:val="0"/>
        <w:bidi w:val="0"/>
        <w:adjustRightInd w:val="0"/>
        <w:spacing w:line="360" w:lineRule="exact"/>
        <w:ind w:firstLine="480"/>
        <w:rPr>
          <w:rStyle w:val="14"/>
          <w:rFonts w:hint="eastAsia" w:ascii="Calibri" w:hAnsi="宋体" w:eastAsia="宋体" w:cs="Times New Roman"/>
          <w:szCs w:val="21"/>
          <w:lang w:val="zh-CN"/>
        </w:rPr>
      </w:pPr>
      <w:r>
        <w:rPr>
          <w:rStyle w:val="14"/>
          <w:rFonts w:hint="eastAsia" w:ascii="Calibri" w:hAnsi="宋体" w:eastAsia="宋体" w:cs="Times New Roman"/>
          <w:szCs w:val="21"/>
          <w:highlight w:val="white"/>
          <w:lang w:val="zh-CN"/>
        </w:rPr>
        <w:t>投标人承诺：除上表中的偏离外，完全响应招标文件的其他条款。</w:t>
      </w:r>
    </w:p>
    <w:p>
      <w:pPr>
        <w:pStyle w:val="80"/>
        <w:autoSpaceDE w:val="0"/>
        <w:autoSpaceDN w:val="0"/>
        <w:bidi w:val="0"/>
        <w:adjustRightInd w:val="0"/>
        <w:spacing w:line="360" w:lineRule="exact"/>
        <w:ind w:firstLine="480"/>
        <w:rPr>
          <w:rStyle w:val="14"/>
          <w:rFonts w:hint="eastAsia" w:ascii="Calibri" w:hAnsi="宋体" w:eastAsia="宋体" w:cs="Times New Roman"/>
          <w:szCs w:val="21"/>
          <w:lang w:val="zh-CN"/>
        </w:rPr>
      </w:pPr>
    </w:p>
    <w:p>
      <w:pPr>
        <w:pStyle w:val="80"/>
        <w:autoSpaceDE w:val="0"/>
        <w:autoSpaceDN w:val="0"/>
        <w:bidi w:val="0"/>
        <w:adjustRightInd w:val="0"/>
        <w:spacing w:line="360" w:lineRule="exact"/>
        <w:ind w:firstLine="480"/>
        <w:rPr>
          <w:rStyle w:val="14"/>
          <w:rFonts w:hint="eastAsia" w:ascii="Calibri" w:hAnsi="宋体" w:eastAsia="宋体" w:cs="Times New Roman"/>
          <w:szCs w:val="21"/>
          <w:lang w:val="zh-CN"/>
        </w:rPr>
      </w:pPr>
    </w:p>
    <w:p>
      <w:pPr>
        <w:pStyle w:val="80"/>
        <w:autoSpaceDE w:val="0"/>
        <w:autoSpaceDN w:val="0"/>
        <w:bidi w:val="0"/>
        <w:adjustRightInd w:val="0"/>
        <w:spacing w:line="360" w:lineRule="exact"/>
        <w:ind w:firstLine="480"/>
        <w:rPr>
          <w:rStyle w:val="14"/>
          <w:rFonts w:hint="eastAsia" w:ascii="Calibri" w:hAnsi="宋体" w:eastAsia="宋体" w:cs="Times New Roman"/>
          <w:szCs w:val="21"/>
          <w:lang w:val="zh-CN"/>
        </w:rPr>
      </w:pPr>
    </w:p>
    <w:p>
      <w:pPr>
        <w:pStyle w:val="80"/>
        <w:autoSpaceDE w:val="0"/>
        <w:autoSpaceDN w:val="0"/>
        <w:bidi w:val="0"/>
        <w:adjustRightInd w:val="0"/>
        <w:spacing w:line="360" w:lineRule="exact"/>
        <w:ind w:firstLine="480"/>
        <w:rPr>
          <w:rStyle w:val="14"/>
          <w:rFonts w:ascii="Calibri" w:hAnsi="Calibri" w:eastAsia="宋体" w:cs="Times New Roman"/>
          <w:szCs w:val="21"/>
        </w:rPr>
      </w:pPr>
    </w:p>
    <w:p>
      <w:pPr>
        <w:pStyle w:val="80"/>
        <w:autoSpaceDE w:val="0"/>
        <w:autoSpaceDN w:val="0"/>
        <w:bidi w:val="0"/>
        <w:adjustRightInd w:val="0"/>
        <w:spacing w:line="360" w:lineRule="exact"/>
        <w:jc w:val="center"/>
        <w:rPr>
          <w:rStyle w:val="14"/>
          <w:rFonts w:ascii="Calibri" w:hAnsi="Calibri" w:eastAsia="宋体" w:cs="Times New Roman"/>
          <w:szCs w:val="21"/>
          <w:lang w:val="zh-CN"/>
        </w:rPr>
      </w:pPr>
    </w:p>
    <w:p>
      <w:pPr>
        <w:pStyle w:val="80"/>
        <w:bidi w:val="0"/>
        <w:ind w:firstLine="2310" w:firstLineChars="1100"/>
        <w:rPr>
          <w:rStyle w:val="14"/>
          <w:rFonts w:ascii="Calibri" w:hAnsi="Calibri" w:eastAsia="宋体" w:cs="Times New Roman"/>
          <w:lang w:val="zh-CN"/>
        </w:rPr>
      </w:pPr>
      <w:r>
        <w:rPr>
          <w:rStyle w:val="14"/>
          <w:rFonts w:hint="eastAsia" w:ascii="Calibri" w:hAnsi="宋体" w:eastAsia="宋体" w:cs="Times New Roman"/>
          <w:highlight w:val="white"/>
          <w:lang w:val="zh-CN"/>
        </w:rPr>
        <w:t>投</w:t>
      </w:r>
      <w:r>
        <w:rPr>
          <w:rStyle w:val="14"/>
          <w:rFonts w:ascii="Calibri" w:hAnsi="Calibri" w:eastAsia="宋体" w:cs="Times New Roman"/>
          <w:highlight w:val="white"/>
          <w:lang w:val="zh-CN"/>
        </w:rPr>
        <w:t xml:space="preserve"> </w:t>
      </w:r>
      <w:r>
        <w:rPr>
          <w:rStyle w:val="14"/>
          <w:rFonts w:hint="eastAsia" w:ascii="Calibri" w:hAnsi="宋体" w:eastAsia="宋体" w:cs="Times New Roman"/>
          <w:highlight w:val="white"/>
          <w:lang w:val="zh-CN"/>
        </w:rPr>
        <w:t>标</w:t>
      </w:r>
      <w:r>
        <w:rPr>
          <w:rStyle w:val="14"/>
          <w:rFonts w:ascii="Calibri" w:hAnsi="Calibri" w:eastAsia="宋体" w:cs="Times New Roman"/>
          <w:highlight w:val="white"/>
          <w:lang w:val="zh-CN"/>
        </w:rPr>
        <w:t xml:space="preserve"> </w:t>
      </w:r>
      <w:r>
        <w:rPr>
          <w:rStyle w:val="14"/>
          <w:rFonts w:hint="eastAsia" w:ascii="Calibri" w:hAnsi="宋体" w:eastAsia="宋体" w:cs="Times New Roman"/>
          <w:highlight w:val="white"/>
          <w:lang w:val="zh-CN"/>
        </w:rPr>
        <w:t>人：</w:t>
      </w:r>
      <w:r>
        <w:rPr>
          <w:rStyle w:val="14"/>
          <w:rFonts w:ascii="Calibri" w:hAnsi="Calibri" w:eastAsia="宋体" w:cs="Times New Roman"/>
          <w:highlight w:val="white"/>
          <w:u w:val="single"/>
          <w:lang w:val="zh-CN"/>
        </w:rPr>
        <w:tab/>
      </w:r>
      <w:r>
        <w:rPr>
          <w:rStyle w:val="14"/>
          <w:rFonts w:ascii="Calibri" w:hAnsi="Calibri" w:eastAsia="宋体" w:cs="Times New Roman"/>
          <w:highlight w:val="white"/>
          <w:u w:val="single"/>
          <w:lang w:val="zh-CN"/>
        </w:rPr>
        <w:tab/>
      </w:r>
      <w:r>
        <w:rPr>
          <w:rStyle w:val="14"/>
          <w:rFonts w:ascii="Calibri" w:hAnsi="Calibri" w:eastAsia="宋体" w:cs="Times New Roman"/>
          <w:highlight w:val="white"/>
          <w:u w:val="single"/>
          <w:lang w:val="zh-CN"/>
        </w:rPr>
        <w:t xml:space="preserve">         </w:t>
      </w:r>
      <w:r>
        <w:rPr>
          <w:rStyle w:val="14"/>
          <w:rFonts w:ascii="Calibri" w:hAnsi="Calibri" w:eastAsia="宋体" w:cs="Times New Roman"/>
          <w:highlight w:val="white"/>
          <w:lang w:val="zh-CN"/>
        </w:rPr>
        <w:t xml:space="preserve"> </w:t>
      </w:r>
      <w:r>
        <w:rPr>
          <w:rStyle w:val="14"/>
          <w:rFonts w:hint="eastAsia" w:ascii="Calibri" w:hAnsi="宋体" w:eastAsia="宋体" w:cs="Times New Roman"/>
          <w:highlight w:val="white"/>
          <w:lang w:val="zh-CN"/>
        </w:rPr>
        <w:t>（</w:t>
      </w:r>
      <w:r>
        <w:rPr>
          <w:rStyle w:val="14"/>
          <w:rFonts w:hint="eastAsia" w:hAnsi="宋体" w:cs="Times New Roman"/>
          <w:highlight w:val="white"/>
          <w:lang w:val="en-US" w:eastAsia="zh-CN"/>
        </w:rPr>
        <w:t>单位公章</w:t>
      </w:r>
      <w:r>
        <w:rPr>
          <w:rStyle w:val="14"/>
          <w:rFonts w:hint="eastAsia" w:ascii="Calibri" w:hAnsi="宋体" w:eastAsia="宋体" w:cs="Times New Roman"/>
          <w:highlight w:val="white"/>
          <w:lang w:val="zh-CN"/>
        </w:rPr>
        <w:t>）</w:t>
      </w:r>
    </w:p>
    <w:p>
      <w:pPr>
        <w:pStyle w:val="80"/>
        <w:bidi w:val="0"/>
        <w:ind w:firstLine="2310" w:firstLineChars="1100"/>
        <w:rPr>
          <w:rStyle w:val="14"/>
          <w:rFonts w:ascii="Calibri" w:hAnsi="Calibri" w:eastAsia="宋体" w:cs="Times New Roman"/>
          <w:u w:val="single"/>
          <w:lang w:val="zh-CN"/>
        </w:rPr>
      </w:pPr>
      <w:r>
        <w:rPr>
          <w:rStyle w:val="14"/>
          <w:rFonts w:hint="eastAsia" w:ascii="Calibri" w:hAnsi="宋体" w:eastAsia="宋体" w:cs="Times New Roman"/>
          <w:highlight w:val="white"/>
          <w:lang w:val="zh-CN"/>
        </w:rPr>
        <w:t>法定代表人</w:t>
      </w:r>
      <w:r>
        <w:rPr>
          <w:rStyle w:val="14"/>
          <w:rFonts w:ascii="Calibri" w:hAnsi="Calibri" w:eastAsia="宋体" w:cs="Times New Roman"/>
          <w:highlight w:val="white"/>
          <w:lang w:val="zh-CN"/>
        </w:rPr>
        <w:t xml:space="preserve"> </w:t>
      </w:r>
      <w:r>
        <w:rPr>
          <w:rStyle w:val="14"/>
          <w:rFonts w:hint="eastAsia" w:ascii="Calibri" w:hAnsi="宋体" w:eastAsia="宋体" w:cs="Times New Roman"/>
          <w:highlight w:val="white"/>
          <w:lang w:val="zh-CN"/>
        </w:rPr>
        <w:t>：</w:t>
      </w:r>
      <w:r>
        <w:rPr>
          <w:rStyle w:val="14"/>
          <w:rFonts w:ascii="Calibri" w:hAnsi="Calibri" w:eastAsia="宋体" w:cs="Times New Roman"/>
          <w:highlight w:val="white"/>
          <w:u w:val="single"/>
          <w:lang w:val="zh-CN"/>
        </w:rPr>
        <w:tab/>
      </w:r>
      <w:r>
        <w:rPr>
          <w:rStyle w:val="14"/>
          <w:rFonts w:ascii="Calibri" w:hAnsi="Calibri" w:eastAsia="宋体" w:cs="Times New Roman"/>
          <w:highlight w:val="white"/>
          <w:u w:val="single"/>
          <w:lang w:val="zh-CN"/>
        </w:rPr>
        <w:tab/>
      </w:r>
      <w:r>
        <w:rPr>
          <w:rStyle w:val="14"/>
          <w:rFonts w:ascii="Calibri" w:hAnsi="Calibri" w:eastAsia="宋体" w:cs="Times New Roman"/>
          <w:highlight w:val="white"/>
          <w:u w:val="single"/>
          <w:lang w:val="zh-CN"/>
        </w:rPr>
        <w:t xml:space="preserve">          </w:t>
      </w:r>
      <w:r>
        <w:rPr>
          <w:rStyle w:val="14"/>
          <w:rFonts w:hint="eastAsia" w:ascii="Calibri" w:hAnsi="宋体" w:eastAsia="宋体" w:cs="Times New Roman"/>
          <w:highlight w:val="white"/>
          <w:lang w:val="zh-CN"/>
        </w:rPr>
        <w:t>（</w:t>
      </w:r>
      <w:r>
        <w:rPr>
          <w:rStyle w:val="14"/>
          <w:rFonts w:hint="eastAsia" w:hAnsi="宋体" w:cs="Times New Roman"/>
          <w:highlight w:val="white"/>
          <w:lang w:val="en-US" w:eastAsia="zh-CN"/>
        </w:rPr>
        <w:t>签字或</w:t>
      </w:r>
      <w:r>
        <w:rPr>
          <w:rStyle w:val="14"/>
          <w:rFonts w:hint="eastAsia" w:ascii="Calibri" w:hAnsi="宋体" w:eastAsia="宋体" w:cs="Times New Roman"/>
          <w:highlight w:val="white"/>
        </w:rPr>
        <w:t>签章</w:t>
      </w:r>
      <w:r>
        <w:rPr>
          <w:rStyle w:val="14"/>
          <w:rFonts w:hint="eastAsia" w:ascii="Calibri" w:hAnsi="宋体" w:eastAsia="宋体" w:cs="Times New Roman"/>
          <w:highlight w:val="white"/>
          <w:lang w:val="zh-CN"/>
        </w:rPr>
        <w:t>）</w:t>
      </w:r>
    </w:p>
    <w:p>
      <w:pPr>
        <w:pStyle w:val="80"/>
        <w:autoSpaceDE w:val="0"/>
        <w:autoSpaceDN w:val="0"/>
        <w:bidi w:val="0"/>
        <w:adjustRightInd w:val="0"/>
        <w:spacing w:line="360" w:lineRule="exact"/>
        <w:ind w:left="1000" w:right="420"/>
        <w:rPr>
          <w:rStyle w:val="14"/>
          <w:rFonts w:ascii="Calibri" w:hAnsi="Calibri" w:eastAsia="宋体" w:cs="Times New Roman"/>
          <w:szCs w:val="21"/>
          <w:lang w:val="zh-CN"/>
        </w:rPr>
      </w:pPr>
      <w:r>
        <w:rPr>
          <w:rStyle w:val="14"/>
          <w:rFonts w:ascii="Calibri" w:hAnsi="Calibri" w:eastAsia="宋体" w:cs="Times New Roman"/>
          <w:szCs w:val="21"/>
          <w:highlight w:val="white"/>
          <w:lang w:val="zh-CN"/>
        </w:rPr>
        <w:t xml:space="preserve">       </w:t>
      </w:r>
    </w:p>
    <w:p>
      <w:pPr>
        <w:pStyle w:val="81"/>
        <w:bidi w:val="0"/>
        <w:ind w:firstLine="2310" w:firstLineChars="1100"/>
        <w:rPr>
          <w:rStyle w:val="14"/>
          <w:rFonts w:hint="eastAsia" w:ascii="Calibri" w:hAnsi="Calibri" w:eastAsia="宋体" w:cs="Times New Roman"/>
        </w:rPr>
      </w:pPr>
      <w:r>
        <w:rPr>
          <w:rStyle w:val="14"/>
          <w:rFonts w:hint="eastAsia" w:ascii="Calibri" w:hAnsi="宋体" w:eastAsia="宋体" w:cs="Times New Roman"/>
          <w:szCs w:val="21"/>
          <w:highlight w:val="white"/>
          <w:lang w:val="zh-CN"/>
        </w:rPr>
        <w:t>日期：</w:t>
      </w:r>
      <w:r>
        <w:rPr>
          <w:rStyle w:val="14"/>
          <w:rFonts w:ascii="Calibri" w:hAnsi="Calibri" w:eastAsia="宋体" w:cs="Times New Roman"/>
          <w:szCs w:val="21"/>
          <w:highlight w:val="white"/>
          <w:u w:val="single"/>
          <w:lang w:val="zh-CN"/>
        </w:rPr>
        <w:t xml:space="preserve">       </w:t>
      </w:r>
      <w:r>
        <w:rPr>
          <w:rStyle w:val="14"/>
          <w:rFonts w:hint="eastAsia" w:ascii="Calibri" w:hAnsi="宋体" w:eastAsia="宋体" w:cs="Times New Roman"/>
          <w:szCs w:val="21"/>
          <w:highlight w:val="white"/>
          <w:lang w:val="zh-CN"/>
        </w:rPr>
        <w:t>年</w:t>
      </w:r>
      <w:r>
        <w:rPr>
          <w:rStyle w:val="14"/>
          <w:rFonts w:ascii="Calibri" w:hAnsi="Calibri" w:eastAsia="宋体" w:cs="Times New Roman"/>
          <w:szCs w:val="21"/>
          <w:highlight w:val="white"/>
          <w:u w:val="single"/>
          <w:lang w:val="zh-CN"/>
        </w:rPr>
        <w:t xml:space="preserve">       </w:t>
      </w:r>
      <w:r>
        <w:rPr>
          <w:rStyle w:val="14"/>
          <w:rFonts w:hint="eastAsia" w:ascii="Calibri" w:hAnsi="宋体" w:eastAsia="宋体" w:cs="Times New Roman"/>
          <w:szCs w:val="21"/>
          <w:highlight w:val="white"/>
          <w:lang w:val="zh-CN"/>
        </w:rPr>
        <w:t>月</w:t>
      </w:r>
      <w:r>
        <w:rPr>
          <w:rStyle w:val="14"/>
          <w:rFonts w:ascii="Calibri" w:hAnsi="Calibri" w:eastAsia="宋体" w:cs="Times New Roman"/>
          <w:szCs w:val="21"/>
          <w:highlight w:val="white"/>
          <w:u w:val="single"/>
          <w:lang w:val="zh-CN"/>
        </w:rPr>
        <w:t xml:space="preserve">      </w:t>
      </w:r>
      <w:r>
        <w:rPr>
          <w:rStyle w:val="14"/>
          <w:rFonts w:hint="eastAsia" w:ascii="Calibri" w:hAnsi="宋体" w:eastAsia="宋体" w:cs="Times New Roman"/>
          <w:szCs w:val="21"/>
          <w:highlight w:val="white"/>
          <w:lang w:val="zh-CN"/>
        </w:rPr>
        <w:t>日</w:t>
      </w:r>
    </w:p>
    <w:p>
      <w:pPr>
        <w:pStyle w:val="82"/>
        <w:bidi w:val="0"/>
        <w:jc w:val="left"/>
        <w:outlineLvl w:val="1"/>
        <w:rPr>
          <w:rStyle w:val="14"/>
        </w:rPr>
      </w:pPr>
      <w:r>
        <w:rPr>
          <w:rStyle w:val="14"/>
          <w:highlight w:val="white"/>
        </w:rPr>
        <w:br w:type="page"/>
      </w:r>
      <w:bookmarkStart w:id="658" w:name="_Toc24386"/>
      <w:r>
        <w:rPr>
          <w:rStyle w:val="14"/>
          <w:highlight w:val="white"/>
        </w:rPr>
        <w:t>十四、用工承诺书</w:t>
      </w:r>
      <w:bookmarkEnd w:id="658"/>
    </w:p>
    <w:p>
      <w:pPr>
        <w:pStyle w:val="83"/>
        <w:bidi w:val="0"/>
        <w:rPr>
          <w:rStyle w:val="14"/>
          <w:rFonts w:ascii="Calibri" w:hAnsi="Calibri" w:eastAsia="宋体" w:cs="Times New Roman"/>
        </w:rPr>
      </w:pPr>
    </w:p>
    <w:p>
      <w:pPr>
        <w:pStyle w:val="84"/>
        <w:bidi w:val="0"/>
        <w:spacing w:line="360" w:lineRule="auto"/>
        <w:ind w:firstLine="420" w:firstLineChars="200"/>
        <w:rPr>
          <w:rStyle w:val="14"/>
          <w:rFonts w:ascii="Calibri" w:hAnsi="Calibri" w:eastAsia="宋体" w:cs="Times New Roman"/>
          <w:szCs w:val="21"/>
        </w:rPr>
      </w:pPr>
      <w:r>
        <w:rPr>
          <w:rStyle w:val="14"/>
          <w:rFonts w:ascii="Calibri" w:hAnsi="Calibri" w:eastAsia="宋体" w:cs="Times New Roman"/>
          <w:szCs w:val="21"/>
          <w:highlight w:val="white"/>
          <w:u w:val="single"/>
        </w:rPr>
        <w:t xml:space="preserve">                       </w:t>
      </w:r>
      <w:r>
        <w:rPr>
          <w:rStyle w:val="14"/>
          <w:rFonts w:hint="eastAsia" w:ascii="Calibri" w:hAnsi="宋体" w:eastAsia="宋体" w:cs="Times New Roman"/>
          <w:szCs w:val="21"/>
          <w:highlight w:val="white"/>
        </w:rPr>
        <w:t>项目用工承诺，我公司杜绝使用包工头，现承诺如下：</w:t>
      </w:r>
    </w:p>
    <w:p>
      <w:pPr>
        <w:pStyle w:val="84"/>
        <w:bidi w:val="0"/>
        <w:spacing w:line="360" w:lineRule="auto"/>
        <w:ind w:firstLine="420" w:firstLineChars="200"/>
        <w:rPr>
          <w:rStyle w:val="14"/>
          <w:rFonts w:ascii="Calibri" w:hAnsi="Calibri" w:eastAsia="宋体" w:cs="Times New Roman"/>
          <w:szCs w:val="21"/>
        </w:rPr>
      </w:pPr>
    </w:p>
    <w:p>
      <w:pPr>
        <w:pStyle w:val="84"/>
        <w:bidi w:val="0"/>
        <w:spacing w:line="360" w:lineRule="auto"/>
        <w:ind w:firstLine="420" w:firstLineChars="200"/>
        <w:rPr>
          <w:rStyle w:val="14"/>
          <w:rFonts w:ascii="Calibri" w:hAnsi="Calibri" w:eastAsia="宋体" w:cs="Times New Roman"/>
          <w:szCs w:val="21"/>
        </w:rPr>
      </w:pPr>
      <w:r>
        <w:rPr>
          <w:rStyle w:val="14"/>
          <w:rFonts w:ascii="Calibri" w:hAnsi="Calibri" w:eastAsia="宋体" w:cs="Times New Roman"/>
          <w:szCs w:val="21"/>
          <w:highlight w:val="white"/>
        </w:rPr>
        <w:t>1</w:t>
      </w:r>
      <w:r>
        <w:rPr>
          <w:rStyle w:val="14"/>
          <w:rFonts w:hint="eastAsia" w:ascii="Calibri" w:hAnsi="宋体" w:eastAsia="宋体" w:cs="Times New Roman"/>
          <w:szCs w:val="21"/>
          <w:highlight w:val="white"/>
        </w:rPr>
        <w:t>、保证本项目施工期间与劳动者签订合法用工合同，不使用包工头带工作业，在进行劳务作业分包时保证使用有资质的劳务作业；</w:t>
      </w:r>
    </w:p>
    <w:p>
      <w:pPr>
        <w:pStyle w:val="84"/>
        <w:bidi w:val="0"/>
        <w:spacing w:line="360" w:lineRule="auto"/>
        <w:ind w:firstLine="420" w:firstLineChars="200"/>
        <w:rPr>
          <w:rStyle w:val="14"/>
          <w:rFonts w:ascii="Calibri" w:hAnsi="Calibri" w:eastAsia="宋体" w:cs="Times New Roman"/>
          <w:szCs w:val="21"/>
        </w:rPr>
      </w:pPr>
      <w:r>
        <w:rPr>
          <w:rStyle w:val="14"/>
          <w:rFonts w:ascii="Calibri" w:hAnsi="Calibri" w:eastAsia="宋体" w:cs="Times New Roman"/>
          <w:szCs w:val="21"/>
          <w:highlight w:val="white"/>
        </w:rPr>
        <w:t>2</w:t>
      </w:r>
      <w:r>
        <w:rPr>
          <w:rStyle w:val="14"/>
          <w:rFonts w:hint="eastAsia" w:ascii="Calibri" w:hAnsi="宋体" w:eastAsia="宋体" w:cs="Times New Roman"/>
          <w:szCs w:val="21"/>
          <w:highlight w:val="white"/>
        </w:rPr>
        <w:t>、保证本项目农民工工资标准不低于宿迁市最低工资标准，保证不克扣和拖欠工资，工资支付最长周期小于</w:t>
      </w:r>
      <w:r>
        <w:rPr>
          <w:rStyle w:val="14"/>
          <w:rFonts w:ascii="Calibri" w:hAnsi="Calibri" w:eastAsia="宋体" w:cs="Times New Roman"/>
          <w:szCs w:val="21"/>
          <w:highlight w:val="white"/>
        </w:rPr>
        <w:t>30</w:t>
      </w:r>
      <w:r>
        <w:rPr>
          <w:rStyle w:val="14"/>
          <w:rFonts w:hint="eastAsia" w:ascii="Calibri" w:hAnsi="宋体" w:eastAsia="宋体" w:cs="Times New Roman"/>
          <w:szCs w:val="21"/>
          <w:highlight w:val="white"/>
        </w:rPr>
        <w:t>天；</w:t>
      </w:r>
    </w:p>
    <w:p>
      <w:pPr>
        <w:pStyle w:val="84"/>
        <w:bidi w:val="0"/>
        <w:spacing w:line="360" w:lineRule="auto"/>
        <w:ind w:firstLine="420" w:firstLineChars="200"/>
        <w:rPr>
          <w:rStyle w:val="14"/>
          <w:rFonts w:ascii="Calibri" w:hAnsi="Calibri" w:eastAsia="宋体" w:cs="Times New Roman"/>
          <w:szCs w:val="21"/>
        </w:rPr>
      </w:pPr>
      <w:r>
        <w:rPr>
          <w:rStyle w:val="14"/>
          <w:rFonts w:ascii="Calibri" w:hAnsi="Calibri" w:eastAsia="宋体" w:cs="Times New Roman"/>
          <w:szCs w:val="21"/>
          <w:highlight w:val="white"/>
        </w:rPr>
        <w:t>3</w:t>
      </w:r>
      <w:r>
        <w:rPr>
          <w:rStyle w:val="14"/>
          <w:rFonts w:hint="eastAsia" w:ascii="Calibri" w:hAnsi="宋体" w:eastAsia="宋体" w:cs="Times New Roman"/>
          <w:szCs w:val="21"/>
          <w:highlight w:val="white"/>
        </w:rPr>
        <w:t>、保证在本项目现场的显著位置设立民工权益告知牌，告知民工权益；</w:t>
      </w:r>
    </w:p>
    <w:p>
      <w:pPr>
        <w:pStyle w:val="84"/>
        <w:bidi w:val="0"/>
        <w:spacing w:line="360" w:lineRule="auto"/>
        <w:ind w:firstLine="420" w:firstLineChars="200"/>
        <w:rPr>
          <w:rStyle w:val="14"/>
          <w:rFonts w:ascii="Calibri" w:hAnsi="Calibri" w:eastAsia="宋体" w:cs="Times New Roman"/>
          <w:szCs w:val="21"/>
        </w:rPr>
      </w:pPr>
      <w:r>
        <w:rPr>
          <w:rStyle w:val="14"/>
          <w:rFonts w:ascii="Calibri" w:hAnsi="Calibri" w:eastAsia="宋体" w:cs="Times New Roman"/>
          <w:szCs w:val="21"/>
          <w:highlight w:val="white"/>
        </w:rPr>
        <w:t>4</w:t>
      </w:r>
      <w:r>
        <w:rPr>
          <w:rStyle w:val="14"/>
          <w:rFonts w:hint="eastAsia" w:ascii="Calibri" w:hAnsi="宋体" w:eastAsia="宋体" w:cs="Times New Roman"/>
          <w:szCs w:val="21"/>
          <w:highlight w:val="white"/>
        </w:rPr>
        <w:t>、保证不违反劳动保障法律、法规的一切规定。</w:t>
      </w:r>
    </w:p>
    <w:p>
      <w:pPr>
        <w:pStyle w:val="84"/>
        <w:bidi w:val="0"/>
        <w:spacing w:line="360" w:lineRule="auto"/>
        <w:ind w:firstLine="420" w:firstLineChars="200"/>
        <w:rPr>
          <w:rStyle w:val="14"/>
          <w:rFonts w:ascii="Calibri" w:hAnsi="Calibri" w:eastAsia="宋体" w:cs="Times New Roman"/>
          <w:szCs w:val="21"/>
        </w:rPr>
      </w:pPr>
      <w:r>
        <w:rPr>
          <w:rStyle w:val="14"/>
          <w:rFonts w:hint="eastAsia" w:ascii="Calibri" w:hAnsi="宋体" w:eastAsia="宋体" w:cs="Times New Roman"/>
          <w:szCs w:val="21"/>
          <w:highlight w:val="white"/>
        </w:rPr>
        <w:t>特此承诺。</w:t>
      </w:r>
    </w:p>
    <w:p>
      <w:pPr>
        <w:pStyle w:val="84"/>
        <w:bidi w:val="0"/>
        <w:spacing w:line="360" w:lineRule="exact"/>
        <w:rPr>
          <w:rStyle w:val="14"/>
          <w:rFonts w:ascii="Calibri" w:hAnsi="Calibri" w:eastAsia="宋体" w:cs="Times New Roman"/>
          <w:szCs w:val="21"/>
        </w:rPr>
      </w:pPr>
    </w:p>
    <w:p>
      <w:pPr>
        <w:pStyle w:val="84"/>
        <w:bidi w:val="0"/>
        <w:spacing w:line="360" w:lineRule="exact"/>
        <w:rPr>
          <w:rStyle w:val="14"/>
          <w:rFonts w:ascii="Calibri" w:hAnsi="Calibri" w:eastAsia="宋体" w:cs="Times New Roman"/>
          <w:szCs w:val="21"/>
        </w:rPr>
      </w:pPr>
    </w:p>
    <w:p>
      <w:pPr>
        <w:pStyle w:val="84"/>
        <w:bidi w:val="0"/>
        <w:spacing w:line="360" w:lineRule="exact"/>
        <w:rPr>
          <w:rStyle w:val="14"/>
          <w:rFonts w:ascii="Calibri" w:hAnsi="Calibri" w:eastAsia="宋体" w:cs="Times New Roman"/>
          <w:szCs w:val="21"/>
        </w:rPr>
      </w:pPr>
    </w:p>
    <w:p>
      <w:pPr>
        <w:pStyle w:val="84"/>
        <w:bidi w:val="0"/>
        <w:spacing w:line="360" w:lineRule="exact"/>
        <w:rPr>
          <w:rStyle w:val="14"/>
          <w:rFonts w:ascii="Calibri" w:hAnsi="Calibri" w:eastAsia="宋体" w:cs="Times New Roman"/>
          <w:szCs w:val="21"/>
        </w:rPr>
      </w:pPr>
    </w:p>
    <w:p>
      <w:pPr>
        <w:pStyle w:val="84"/>
        <w:bidi w:val="0"/>
        <w:spacing w:line="360" w:lineRule="exact"/>
        <w:rPr>
          <w:rStyle w:val="14"/>
          <w:rFonts w:ascii="Calibri" w:hAnsi="Calibri" w:eastAsia="宋体" w:cs="Times New Roman"/>
          <w:szCs w:val="21"/>
        </w:rPr>
      </w:pPr>
    </w:p>
    <w:p>
      <w:pPr>
        <w:pStyle w:val="84"/>
        <w:autoSpaceDE w:val="0"/>
        <w:autoSpaceDN w:val="0"/>
        <w:bidi w:val="0"/>
        <w:adjustRightInd w:val="0"/>
        <w:spacing w:line="360" w:lineRule="exact"/>
        <w:ind w:right="840" w:firstLine="1260" w:firstLineChars="600"/>
        <w:rPr>
          <w:rStyle w:val="14"/>
          <w:rFonts w:ascii="Calibri" w:hAnsi="Calibri" w:eastAsia="宋体" w:cs="Times New Roman"/>
          <w:szCs w:val="21"/>
          <w:u w:val="single"/>
          <w:lang w:val="zh-CN"/>
        </w:rPr>
      </w:pPr>
      <w:r>
        <w:rPr>
          <w:rStyle w:val="14"/>
          <w:rFonts w:hint="eastAsia" w:ascii="Calibri" w:hAnsi="宋体" w:eastAsia="宋体" w:cs="Times New Roman"/>
          <w:highlight w:val="white"/>
          <w:lang w:val="zh-CN"/>
        </w:rPr>
        <w:t>投</w:t>
      </w:r>
      <w:r>
        <w:rPr>
          <w:rStyle w:val="14"/>
          <w:rFonts w:ascii="Calibri" w:hAnsi="Calibri" w:eastAsia="宋体" w:cs="Times New Roman"/>
          <w:highlight w:val="white"/>
          <w:lang w:val="zh-CN"/>
        </w:rPr>
        <w:t xml:space="preserve"> </w:t>
      </w:r>
      <w:r>
        <w:rPr>
          <w:rStyle w:val="14"/>
          <w:rFonts w:hint="eastAsia" w:ascii="Calibri" w:hAnsi="宋体" w:eastAsia="宋体" w:cs="Times New Roman"/>
          <w:highlight w:val="white"/>
          <w:lang w:val="zh-CN"/>
        </w:rPr>
        <w:t>标</w:t>
      </w:r>
      <w:r>
        <w:rPr>
          <w:rStyle w:val="14"/>
          <w:rFonts w:ascii="Calibri" w:hAnsi="Calibri" w:eastAsia="宋体" w:cs="Times New Roman"/>
          <w:highlight w:val="white"/>
          <w:lang w:val="zh-CN"/>
        </w:rPr>
        <w:t xml:space="preserve"> </w:t>
      </w:r>
      <w:r>
        <w:rPr>
          <w:rStyle w:val="14"/>
          <w:rFonts w:hint="eastAsia" w:ascii="Calibri" w:hAnsi="宋体" w:eastAsia="宋体" w:cs="Times New Roman"/>
          <w:highlight w:val="white"/>
          <w:lang w:val="zh-CN"/>
        </w:rPr>
        <w:t>人：</w:t>
      </w:r>
      <w:r>
        <w:rPr>
          <w:rStyle w:val="14"/>
          <w:rFonts w:ascii="Calibri" w:hAnsi="Calibri" w:eastAsia="宋体" w:cs="Times New Roman"/>
          <w:szCs w:val="21"/>
          <w:highlight w:val="white"/>
          <w:u w:val="single"/>
          <w:lang w:val="zh-CN"/>
        </w:rPr>
        <w:t xml:space="preserve">                             </w:t>
      </w:r>
      <w:r>
        <w:rPr>
          <w:rStyle w:val="14"/>
          <w:rFonts w:hint="eastAsia" w:ascii="Calibri" w:hAnsi="宋体" w:eastAsia="宋体" w:cs="Times New Roman"/>
          <w:highlight w:val="white"/>
          <w:lang w:val="zh-CN"/>
        </w:rPr>
        <w:t>（</w:t>
      </w:r>
      <w:r>
        <w:rPr>
          <w:rStyle w:val="14"/>
          <w:rFonts w:hint="eastAsia" w:hAnsi="宋体" w:cs="Times New Roman"/>
          <w:highlight w:val="white"/>
          <w:lang w:val="en-US" w:eastAsia="zh-CN"/>
        </w:rPr>
        <w:t>单位公章</w:t>
      </w:r>
      <w:r>
        <w:rPr>
          <w:rStyle w:val="14"/>
          <w:rFonts w:hint="eastAsia" w:ascii="Calibri" w:hAnsi="宋体" w:eastAsia="宋体" w:cs="Times New Roman"/>
          <w:highlight w:val="white"/>
          <w:lang w:val="zh-CN"/>
        </w:rPr>
        <w:t>）</w:t>
      </w:r>
    </w:p>
    <w:p>
      <w:pPr>
        <w:pStyle w:val="84"/>
        <w:autoSpaceDE w:val="0"/>
        <w:autoSpaceDN w:val="0"/>
        <w:bidi w:val="0"/>
        <w:adjustRightInd w:val="0"/>
        <w:spacing w:line="360" w:lineRule="exact"/>
        <w:ind w:right="840" w:firstLine="1260" w:firstLineChars="600"/>
        <w:rPr>
          <w:rStyle w:val="14"/>
          <w:rFonts w:hint="eastAsia" w:ascii="Calibri" w:hAnsi="Calibri" w:eastAsia="宋体" w:cs="Times New Roman"/>
          <w:szCs w:val="21"/>
          <w:u w:val="single"/>
          <w:lang w:val="zh-CN"/>
        </w:rPr>
      </w:pPr>
      <w:r>
        <w:rPr>
          <w:rStyle w:val="14"/>
          <w:rFonts w:hint="eastAsia" w:ascii="Calibri" w:hAnsi="宋体" w:eastAsia="宋体" w:cs="Times New Roman"/>
          <w:highlight w:val="white"/>
          <w:lang w:val="zh-CN"/>
        </w:rPr>
        <w:t>法定代表人</w:t>
      </w:r>
      <w:r>
        <w:rPr>
          <w:rStyle w:val="14"/>
          <w:rFonts w:ascii="Calibri" w:hAnsi="Calibri" w:eastAsia="宋体" w:cs="Times New Roman"/>
          <w:highlight w:val="white"/>
          <w:lang w:val="zh-CN"/>
        </w:rPr>
        <w:t xml:space="preserve"> </w:t>
      </w:r>
      <w:r>
        <w:rPr>
          <w:rStyle w:val="14"/>
          <w:rFonts w:hint="eastAsia" w:ascii="Calibri" w:hAnsi="宋体" w:eastAsia="宋体" w:cs="Times New Roman"/>
          <w:highlight w:val="white"/>
          <w:lang w:val="zh-CN"/>
        </w:rPr>
        <w:t>：</w:t>
      </w:r>
      <w:r>
        <w:rPr>
          <w:rStyle w:val="14"/>
          <w:rFonts w:ascii="Calibri" w:hAnsi="Calibri" w:eastAsia="宋体" w:cs="Times New Roman"/>
          <w:szCs w:val="21"/>
          <w:highlight w:val="white"/>
          <w:u w:val="single"/>
          <w:lang w:val="zh-CN"/>
        </w:rPr>
        <w:t xml:space="preserve">                          </w:t>
      </w:r>
      <w:r>
        <w:rPr>
          <w:rStyle w:val="14"/>
          <w:rFonts w:hint="eastAsia" w:ascii="Calibri" w:hAnsi="宋体" w:eastAsia="宋体" w:cs="Times New Roman"/>
          <w:highlight w:val="white"/>
          <w:lang w:val="zh-CN"/>
        </w:rPr>
        <w:t>（</w:t>
      </w:r>
      <w:r>
        <w:rPr>
          <w:rStyle w:val="14"/>
          <w:rFonts w:hint="eastAsia" w:hAnsi="宋体" w:cs="Times New Roman"/>
          <w:highlight w:val="white"/>
          <w:lang w:val="en-US" w:eastAsia="zh-CN"/>
        </w:rPr>
        <w:t>签字或</w:t>
      </w:r>
      <w:r>
        <w:rPr>
          <w:rStyle w:val="14"/>
          <w:rFonts w:hint="eastAsia" w:ascii="Calibri" w:hAnsi="宋体" w:eastAsia="宋体" w:cs="Times New Roman"/>
          <w:highlight w:val="white"/>
          <w:lang w:val="zh-CN"/>
        </w:rPr>
        <w:t>签章）</w:t>
      </w:r>
    </w:p>
    <w:p>
      <w:pPr>
        <w:pStyle w:val="84"/>
        <w:autoSpaceDE w:val="0"/>
        <w:autoSpaceDN w:val="0"/>
        <w:bidi w:val="0"/>
        <w:adjustRightInd w:val="0"/>
        <w:spacing w:line="360" w:lineRule="exact"/>
        <w:ind w:right="840" w:firstLine="1260" w:firstLineChars="600"/>
        <w:rPr>
          <w:rStyle w:val="14"/>
          <w:rFonts w:ascii="Calibri" w:hAnsi="Calibri" w:eastAsia="宋体" w:cs="Times New Roman"/>
          <w:szCs w:val="21"/>
          <w:u w:val="single"/>
          <w:lang w:val="zh-CN"/>
        </w:rPr>
      </w:pPr>
      <w:r>
        <w:rPr>
          <w:rStyle w:val="14"/>
          <w:rFonts w:hint="eastAsia" w:ascii="Calibri" w:hAnsi="宋体" w:eastAsia="宋体" w:cs="Times New Roman"/>
          <w:highlight w:val="white"/>
          <w:lang w:val="zh-CN"/>
        </w:rPr>
        <w:t>联系电话：</w:t>
      </w:r>
      <w:r>
        <w:rPr>
          <w:rStyle w:val="14"/>
          <w:rFonts w:ascii="Calibri" w:hAnsi="Calibri" w:eastAsia="宋体" w:cs="Times New Roman"/>
          <w:szCs w:val="21"/>
          <w:highlight w:val="white"/>
          <w:u w:val="single"/>
          <w:lang w:val="zh-CN"/>
        </w:rPr>
        <w:t xml:space="preserve">                         </w:t>
      </w:r>
    </w:p>
    <w:p>
      <w:pPr>
        <w:pStyle w:val="84"/>
        <w:bidi w:val="0"/>
        <w:rPr>
          <w:rStyle w:val="14"/>
          <w:rFonts w:ascii="Calibri" w:hAnsi="Calibri" w:eastAsia="宋体" w:cs="Times New Roman"/>
          <w:lang w:val="zh-CN"/>
        </w:rPr>
      </w:pPr>
      <w:r>
        <w:rPr>
          <w:rStyle w:val="14"/>
          <w:rFonts w:ascii="Calibri" w:hAnsi="Calibri" w:eastAsia="宋体" w:cs="Times New Roman"/>
          <w:highlight w:val="white"/>
          <w:lang w:val="zh-CN"/>
        </w:rPr>
        <w:t xml:space="preserve">                                       </w:t>
      </w:r>
    </w:p>
    <w:p>
      <w:pPr>
        <w:pStyle w:val="83"/>
        <w:bidi w:val="0"/>
        <w:ind w:firstLine="1260" w:firstLineChars="600"/>
        <w:rPr>
          <w:rStyle w:val="14"/>
          <w:rFonts w:hint="eastAsia" w:ascii="Calibri" w:hAnsi="Calibri" w:eastAsia="宋体" w:cs="Times New Roman"/>
        </w:rPr>
      </w:pPr>
      <w:r>
        <w:rPr>
          <w:rStyle w:val="14"/>
          <w:rFonts w:hint="eastAsia" w:ascii="Calibri" w:hAnsi="宋体" w:eastAsia="宋体" w:cs="Times New Roman"/>
          <w:szCs w:val="21"/>
          <w:highlight w:val="white"/>
          <w:lang w:val="zh-CN"/>
        </w:rPr>
        <w:t>日期：</w:t>
      </w:r>
      <w:r>
        <w:rPr>
          <w:rStyle w:val="14"/>
          <w:rFonts w:ascii="Calibri" w:hAnsi="Calibri" w:eastAsia="宋体" w:cs="Times New Roman"/>
          <w:szCs w:val="21"/>
          <w:highlight w:val="white"/>
          <w:u w:val="single"/>
          <w:lang w:val="zh-CN"/>
        </w:rPr>
        <w:t xml:space="preserve">      </w:t>
      </w:r>
      <w:r>
        <w:rPr>
          <w:rStyle w:val="14"/>
          <w:rFonts w:hint="eastAsia" w:ascii="Calibri" w:hAnsi="宋体" w:eastAsia="宋体" w:cs="Times New Roman"/>
          <w:szCs w:val="21"/>
          <w:highlight w:val="white"/>
          <w:lang w:val="zh-CN"/>
        </w:rPr>
        <w:t>年</w:t>
      </w:r>
      <w:r>
        <w:rPr>
          <w:rStyle w:val="14"/>
          <w:rFonts w:ascii="Calibri" w:hAnsi="Calibri" w:eastAsia="宋体" w:cs="Times New Roman"/>
          <w:szCs w:val="21"/>
          <w:highlight w:val="white"/>
          <w:u w:val="single"/>
          <w:lang w:val="zh-CN"/>
        </w:rPr>
        <w:t xml:space="preserve">     </w:t>
      </w:r>
      <w:r>
        <w:rPr>
          <w:rStyle w:val="14"/>
          <w:rFonts w:hint="eastAsia" w:ascii="Calibri" w:hAnsi="宋体" w:eastAsia="宋体" w:cs="Times New Roman"/>
          <w:szCs w:val="21"/>
          <w:highlight w:val="white"/>
          <w:lang w:val="zh-CN"/>
        </w:rPr>
        <w:t>月</w:t>
      </w:r>
      <w:r>
        <w:rPr>
          <w:rStyle w:val="14"/>
          <w:rFonts w:ascii="Calibri" w:hAnsi="Calibri" w:eastAsia="宋体" w:cs="Times New Roman"/>
          <w:szCs w:val="21"/>
          <w:highlight w:val="white"/>
          <w:u w:val="single"/>
          <w:lang w:val="zh-CN"/>
        </w:rPr>
        <w:t xml:space="preserve">    </w:t>
      </w:r>
      <w:r>
        <w:rPr>
          <w:rStyle w:val="14"/>
          <w:rFonts w:hint="eastAsia" w:ascii="Calibri" w:hAnsi="宋体" w:eastAsia="宋体" w:cs="Times New Roman"/>
          <w:szCs w:val="21"/>
          <w:highlight w:val="white"/>
          <w:lang w:val="zh-CN"/>
        </w:rPr>
        <w:t>日</w:t>
      </w:r>
    </w:p>
    <w:p>
      <w:pPr>
        <w:pStyle w:val="85"/>
        <w:bidi w:val="0"/>
        <w:jc w:val="left"/>
        <w:outlineLvl w:val="1"/>
        <w:rPr>
          <w:rStyle w:val="14"/>
        </w:rPr>
      </w:pPr>
      <w:r>
        <w:rPr>
          <w:rStyle w:val="14"/>
          <w:highlight w:val="white"/>
        </w:rPr>
        <w:br w:type="page"/>
      </w:r>
      <w:bookmarkStart w:id="659" w:name="_Toc31015"/>
      <w:r>
        <w:rPr>
          <w:rStyle w:val="14"/>
          <w:highlight w:val="white"/>
        </w:rPr>
        <w:t>十五、投标一览表</w:t>
      </w:r>
      <w:bookmarkEnd w:id="659"/>
    </w:p>
    <w:p>
      <w:pPr>
        <w:pStyle w:val="86"/>
        <w:bidi w:val="0"/>
        <w:rPr>
          <w:rStyle w:val="14"/>
          <w:rFonts w:ascii="Times New Roman" w:hAnsi="Times New Roman" w:eastAsia="Times New Roman" w:cs="Times New Roman"/>
        </w:rPr>
      </w:pPr>
      <w:r>
        <w:rPr>
          <w:rStyle w:val="14"/>
          <w:rFonts w:ascii="Times New Roman" w:hAnsi="Times New Roman" w:eastAsia="Times New Roman" w:cs="Times New Roman"/>
          <w:highlight w:val="white"/>
        </w:rPr>
        <w:t xml:space="preserve"> </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5"/>
        <w:gridCol w:w="2089"/>
        <w:gridCol w:w="2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sz w:val="21"/>
                <w:szCs w:val="24"/>
              </w:rPr>
            </w:pPr>
            <w:r>
              <w:rPr>
                <w:rStyle w:val="14"/>
                <w:rFonts w:ascii="Times New Roman" w:hAnsi="Times New Roman" w:eastAsia="Times New Roman" w:cs="Times New Roman"/>
                <w:sz w:val="21"/>
                <w:szCs w:val="24"/>
                <w:highlight w:val="white"/>
              </w:rPr>
              <w:t>标题</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sz w:val="21"/>
                <w:szCs w:val="24"/>
              </w:rPr>
            </w:pPr>
            <w:r>
              <w:rPr>
                <w:rStyle w:val="14"/>
                <w:rFonts w:ascii="Times New Roman" w:hAnsi="Times New Roman" w:eastAsia="Times New Roman" w:cs="Times New Roman"/>
                <w:b/>
                <w:sz w:val="21"/>
                <w:szCs w:val="24"/>
                <w:highlight w:val="white"/>
              </w:rPr>
              <w:t>内容</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sz w:val="21"/>
                <w:szCs w:val="24"/>
              </w:rPr>
            </w:pPr>
            <w:r>
              <w:rPr>
                <w:rStyle w:val="14"/>
                <w:rFonts w:ascii="Times New Roman" w:hAnsi="Times New Roman" w:eastAsia="Times New Roman" w:cs="Times New Roman"/>
                <w:b/>
                <w:sz w:val="21"/>
                <w:szCs w:val="24"/>
                <w:highlight w:val="whit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sz w:val="21"/>
                <w:szCs w:val="24"/>
              </w:rPr>
            </w:pPr>
            <w:r>
              <w:rPr>
                <w:rStyle w:val="14"/>
                <w:rFonts w:ascii="Times New Roman" w:hAnsi="Times New Roman" w:eastAsia="Times New Roman" w:cs="Times New Roman"/>
                <w:b/>
                <w:sz w:val="21"/>
                <w:szCs w:val="24"/>
                <w:highlight w:val="white"/>
              </w:rPr>
              <w:t>单位名称</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r>
              <w:rPr>
                <w:rStyle w:val="14"/>
                <w:rFonts w:ascii="Times New Roman" w:hAnsi="Times New Roman" w:eastAsia="Times New Roman" w:cs="Times New Roman"/>
                <w:b w:val="0"/>
                <w:sz w:val="21"/>
                <w:szCs w:val="24"/>
                <w:highlight w:val="white"/>
              </w:rPr>
              <w:t>投标报价</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r>
              <w:rPr>
                <w:rStyle w:val="14"/>
                <w:rFonts w:ascii="Times New Roman" w:hAnsi="Times New Roman" w:eastAsia="Times New Roman" w:cs="Times New Roman"/>
                <w:b w:val="0"/>
                <w:sz w:val="21"/>
                <w:szCs w:val="24"/>
                <w:highlight w:val="whit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r>
              <w:rPr>
                <w:rStyle w:val="14"/>
                <w:rFonts w:ascii="Times New Roman" w:hAnsi="Times New Roman" w:eastAsia="Times New Roman" w:cs="Times New Roman"/>
                <w:b w:val="0"/>
                <w:sz w:val="21"/>
                <w:szCs w:val="24"/>
                <w:highlight w:val="white"/>
              </w:rPr>
              <w:t>项目负责人</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r>
              <w:rPr>
                <w:rStyle w:val="14"/>
                <w:rFonts w:ascii="Times New Roman" w:hAnsi="Times New Roman" w:eastAsia="Times New Roman" w:cs="Times New Roman"/>
                <w:b w:val="0"/>
                <w:sz w:val="21"/>
                <w:szCs w:val="24"/>
                <w:highlight w:val="white"/>
              </w:rPr>
              <w:t>工期</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r>
              <w:rPr>
                <w:rStyle w:val="14"/>
                <w:rFonts w:ascii="Times New Roman" w:hAnsi="Times New Roman" w:eastAsia="Times New Roman" w:cs="Times New Roman"/>
                <w:b w:val="0"/>
                <w:sz w:val="21"/>
                <w:szCs w:val="24"/>
                <w:highlight w:val="whit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r>
              <w:rPr>
                <w:rStyle w:val="14"/>
                <w:rFonts w:ascii="Times New Roman" w:hAnsi="Times New Roman" w:eastAsia="Times New Roman" w:cs="Times New Roman"/>
                <w:b w:val="0"/>
                <w:sz w:val="21"/>
                <w:szCs w:val="24"/>
                <w:highlight w:val="white"/>
              </w:rPr>
              <w:t>质量</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r>
              <w:rPr>
                <w:rStyle w:val="14"/>
                <w:rFonts w:ascii="Times New Roman" w:hAnsi="Times New Roman" w:eastAsia="Times New Roman" w:cs="Times New Roman"/>
                <w:b w:val="0"/>
                <w:sz w:val="21"/>
                <w:szCs w:val="24"/>
                <w:highlight w:val="white"/>
              </w:rPr>
              <w:t>投标保证金</w:t>
            </w: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p>
        </w:tc>
        <w:tc>
          <w:tcPr>
            <w:tcW w:w="0" w:type="auto"/>
            <w:tcBorders>
              <w:top w:val="single" w:color="000000" w:sz="0" w:space="0"/>
              <w:left w:val="single" w:color="000000" w:sz="0" w:space="0"/>
              <w:bottom w:val="single" w:color="000000" w:sz="0" w:space="0"/>
              <w:right w:val="single" w:color="000000" w:sz="0" w:space="0"/>
            </w:tcBorders>
            <w:noWrap w:val="0"/>
            <w:tcMar>
              <w:top w:w="100" w:type="dxa"/>
              <w:bottom w:w="100" w:type="dxa"/>
            </w:tcMar>
            <w:tcFitText/>
            <w:vAlign w:val="center"/>
          </w:tcPr>
          <w:p>
            <w:pPr>
              <w:pStyle w:val="86"/>
              <w:bidi w:val="0"/>
              <w:jc w:val="left"/>
              <w:rPr>
                <w:rStyle w:val="14"/>
                <w:rFonts w:ascii="Times New Roman" w:hAnsi="Times New Roman" w:eastAsia="Times New Roman" w:cs="Times New Roman"/>
                <w:b w:val="0"/>
                <w:sz w:val="21"/>
                <w:szCs w:val="24"/>
              </w:rPr>
            </w:pPr>
            <w:r>
              <w:rPr>
                <w:rStyle w:val="14"/>
                <w:rFonts w:ascii="Times New Roman" w:hAnsi="Times New Roman" w:eastAsia="Times New Roman" w:cs="Times New Roman"/>
                <w:b w:val="0"/>
                <w:sz w:val="21"/>
                <w:szCs w:val="24"/>
                <w:highlight w:val="white"/>
              </w:rPr>
              <w:t>元</w:t>
            </w:r>
          </w:p>
        </w:tc>
      </w:tr>
    </w:tbl>
    <w:p>
      <w:pPr>
        <w:bidi w:val="0"/>
        <w:rPr>
          <w:rFonts w:hint="eastAsia"/>
          <w:color w:val="000080"/>
          <w:sz w:val="20"/>
          <w:highlight w:val="white"/>
        </w:rPr>
      </w:pPr>
      <w:r>
        <w:rPr>
          <w:rFonts w:hint="eastAsia"/>
          <w:color w:val="000080"/>
          <w:sz w:val="20"/>
          <w:highlight w:val="white"/>
        </w:rPr>
        <w:t xml:space="preserve"> </w:t>
      </w:r>
    </w:p>
    <w:p/>
    <w:sectPr>
      <w:pgSz w:w="11907" w:h="16840"/>
      <w:pgMar w:top="1440" w:right="1559" w:bottom="1440" w:left="1560"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bidi w:val="0"/>
      <w:rPr>
        <w:rStyle w:val="15"/>
      </w:rPr>
    </w:pPr>
    <w:r>
      <w:fldChar w:fldCharType="begin"/>
    </w:r>
    <w:r>
      <w:rPr>
        <w:rStyle w:val="15"/>
        <w:highlight w:val="white"/>
      </w:rPr>
      <w:instrText xml:space="preserve">PAGE  </w:instrText>
    </w:r>
    <w:r>
      <w:fldChar w:fldCharType="separate"/>
    </w:r>
    <w:r>
      <w:rPr>
        <w:rStyle w:val="15"/>
        <w:highlight w:val="white"/>
      </w:rPr>
      <w:t>2</w:t>
    </w:r>
    <w:r>
      <w:fldChar w:fldCharType="end"/>
    </w:r>
  </w:p>
  <w:p>
    <w:pPr>
      <w:pStyle w:val="9"/>
      <w:bidi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bidi w:val="0"/>
      <w:rPr>
        <w:rStyle w:val="15"/>
      </w:rPr>
    </w:pPr>
    <w:r>
      <w:fldChar w:fldCharType="begin"/>
    </w:r>
    <w:r>
      <w:rPr>
        <w:rStyle w:val="15"/>
        <w:highlight w:val="white"/>
      </w:rPr>
      <w:instrText xml:space="preserve">PAGE  </w:instrText>
    </w:r>
    <w:r>
      <w:fldChar w:fldCharType="separate"/>
    </w:r>
    <w:r>
      <w:fldChar w:fldCharType="end"/>
    </w:r>
  </w:p>
  <w:p>
    <w:pPr>
      <w:pStyle w:val="9"/>
      <w:bidi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bidi w:val="0"/>
      <w:jc w:val="center"/>
      <w:rPr>
        <w:rFonts w:hint="eastAsia"/>
        <w:lang w:eastAsia="zh-CN"/>
      </w:rPr>
    </w:pPr>
    <w:r>
      <w:fldChar w:fldCharType="begin"/>
    </w:r>
    <w:r>
      <w:rPr>
        <w:highlight w:val="white"/>
      </w:rPr>
      <w:instrText xml:space="preserve">PAGE   \* MERGEFORMAT</w:instrText>
    </w:r>
    <w:r>
      <w:fldChar w:fldCharType="separate"/>
    </w:r>
    <w:r>
      <w:rPr>
        <w:highlight w:val="white"/>
        <w:lang w:val="zh-CN"/>
      </w:rPr>
      <w:t>III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bidi w:val="0"/>
      <w:jc w:val="center"/>
      <w:rPr>
        <w:rFonts w:hint="eastAsia"/>
        <w:lang w:eastAsia="zh-CN"/>
      </w:rPr>
    </w:pPr>
    <w:r>
      <w:fldChar w:fldCharType="begin"/>
    </w:r>
    <w:r>
      <w:rPr>
        <w:highlight w:val="white"/>
      </w:rPr>
      <w:instrText xml:space="preserve">PAGE   \* MERGEFORMAT</w:instrText>
    </w:r>
    <w:r>
      <w:fldChar w:fldCharType="separate"/>
    </w:r>
    <w:r>
      <w:rPr>
        <w:highlight w:val="white"/>
        <w:lang w:val="zh-CN"/>
      </w:rPr>
      <w:t>106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BD1DCA"/>
    <w:multiLevelType w:val="singleLevel"/>
    <w:tmpl w:val="CEBD1DCA"/>
    <w:lvl w:ilvl="0" w:tentative="0">
      <w:start w:val="1"/>
      <w:numFmt w:val="chineseCounting"/>
      <w:suff w:val="nothing"/>
      <w:lvlText w:val="（%1）"/>
      <w:lvlJc w:val="left"/>
      <w:rPr>
        <w:rFonts w:hint="eastAsia"/>
      </w:rPr>
    </w:lvl>
  </w:abstractNum>
  <w:abstractNum w:abstractNumId="1">
    <w:nsid w:val="4ACCF44C"/>
    <w:multiLevelType w:val="singleLevel"/>
    <w:tmpl w:val="4ACCF44C"/>
    <w:lvl w:ilvl="0" w:tentative="0">
      <w:start w:val="3"/>
      <w:numFmt w:val="decimal"/>
      <w:suff w:val="nothing"/>
      <w:lvlText w:val="（%1）"/>
      <w:lvlJc w:val="left"/>
      <w:rPr>
        <w:rFonts w:hint="default"/>
        <w:color w:val="000000"/>
      </w:rPr>
    </w:lvl>
  </w:abstractNum>
  <w:abstractNum w:abstractNumId="2">
    <w:nsid w:val="7EAF525B"/>
    <w:multiLevelType w:val="multilevel"/>
    <w:tmpl w:val="7EAF525B"/>
    <w:lvl w:ilvl="0" w:tentative="0">
      <w:start w:val="2"/>
      <w:numFmt w:val="decimalEnclosedParen"/>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MWY4NGExNWQ5Y2JjNDY5MDUxZDg1MjkwNmRkOGQifQ=="/>
  </w:docVars>
  <w:rsids>
    <w:rsidRoot w:val="1E0060D3"/>
    <w:rsid w:val="1E0060D3"/>
    <w:rsid w:val="286C6E2C"/>
    <w:rsid w:val="328D6EE3"/>
    <w:rsid w:val="461B60BF"/>
    <w:rsid w:val="4E525F21"/>
    <w:rsid w:val="51DD691E"/>
    <w:rsid w:val="54D20290"/>
    <w:rsid w:val="55CC4CE0"/>
    <w:rsid w:val="613E7590"/>
    <w:rsid w:val="665E569F"/>
    <w:rsid w:val="674E50E9"/>
    <w:rsid w:val="69A46B49"/>
    <w:rsid w:val="6C0A7EB8"/>
    <w:rsid w:val="6E7837FF"/>
    <w:rsid w:val="78BD1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overflowPunct w:val="0"/>
      <w:adjustRightInd w:val="0"/>
      <w:snapToGrid w:val="0"/>
      <w:spacing w:before="340" w:after="330"/>
      <w:jc w:val="center"/>
      <w:outlineLvl w:val="0"/>
    </w:pPr>
    <w:rPr>
      <w:rFonts w:ascii="宋体" w:hAnsi="宋体" w:cs="宋体"/>
      <w:b/>
      <w:kern w:val="0"/>
      <w:sz w:val="44"/>
      <w:szCs w:val="44"/>
    </w:rPr>
  </w:style>
  <w:style w:type="paragraph" w:styleId="3">
    <w:name w:val="heading 2"/>
    <w:basedOn w:val="1"/>
    <w:next w:val="1"/>
    <w:qFormat/>
    <w:uiPriority w:val="0"/>
    <w:pPr>
      <w:spacing w:line="600" w:lineRule="exact"/>
      <w:contextualSpacing/>
      <w:jc w:val="center"/>
      <w:outlineLvl w:val="1"/>
    </w:pPr>
    <w:rPr>
      <w:rFonts w:ascii="宋体" w:hAnsi="宋体" w:cs="宋体"/>
      <w:b/>
      <w:bCs/>
      <w:sz w:val="28"/>
      <w:szCs w:val="28"/>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5">
    <w:name w:val="annotation text"/>
    <w:basedOn w:val="1"/>
    <w:autoRedefine/>
    <w:qFormat/>
    <w:uiPriority w:val="0"/>
    <w:pPr>
      <w:jc w:val="left"/>
    </w:pPr>
  </w:style>
  <w:style w:type="paragraph" w:styleId="6">
    <w:name w:val="Body Text Indent"/>
    <w:basedOn w:val="1"/>
    <w:autoRedefine/>
    <w:qFormat/>
    <w:uiPriority w:val="0"/>
    <w:pPr>
      <w:spacing w:before="240" w:line="360" w:lineRule="auto"/>
      <w:ind w:firstLine="552" w:firstLineChars="263"/>
    </w:pPr>
    <w:rPr>
      <w:rFonts w:ascii="宋体" w:hAnsi="宋体"/>
      <w:szCs w:val="20"/>
    </w:rPr>
  </w:style>
  <w:style w:type="paragraph" w:styleId="7">
    <w:name w:val="toc 3"/>
    <w:basedOn w:val="8"/>
    <w:next w:val="8"/>
    <w:autoRedefine/>
    <w:qFormat/>
    <w:uiPriority w:val="39"/>
    <w:pPr>
      <w:ind w:left="840" w:leftChars="400"/>
    </w:pPr>
  </w:style>
  <w:style w:type="paragraph" w:customStyle="1" w:styleId="8">
    <w:name w:val="正文_0"/>
    <w:autoRedefine/>
    <w:qFormat/>
    <w:uiPriority w:val="0"/>
    <w:pPr>
      <w:widowControl w:val="0"/>
      <w:jc w:val="both"/>
    </w:pPr>
    <w:rPr>
      <w:rFonts w:ascii="Calibri" w:hAnsi="Calibri" w:eastAsia="宋体" w:cs="Times New Roman"/>
      <w:kern w:val="2"/>
      <w:sz w:val="21"/>
      <w:szCs w:val="22"/>
      <w:lang w:val="en-US" w:eastAsia="zh-CN" w:bidi="ar-SA"/>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toc 1"/>
    <w:basedOn w:val="1"/>
    <w:next w:val="1"/>
    <w:qFormat/>
    <w:uiPriority w:val="39"/>
    <w:pPr>
      <w:spacing w:before="60" w:line="400" w:lineRule="exact"/>
    </w:pPr>
    <w:rPr>
      <w:rFonts w:eastAsia="黑体"/>
    </w:rPr>
  </w:style>
  <w:style w:type="paragraph" w:styleId="11">
    <w:name w:val="toc 2"/>
    <w:basedOn w:val="1"/>
    <w:next w:val="1"/>
    <w:autoRedefine/>
    <w:qFormat/>
    <w:uiPriority w:val="39"/>
    <w:pPr>
      <w:ind w:left="420" w:leftChars="200"/>
    </w:pPr>
    <w:rPr>
      <w:rFonts w:ascii="Calibri" w:hAnsi="Calibri"/>
      <w:szCs w:val="22"/>
    </w:rPr>
  </w:style>
  <w:style w:type="paragraph" w:styleId="12">
    <w:name w:val="Body Text First Indent 2"/>
    <w:basedOn w:val="6"/>
    <w:autoRedefine/>
    <w:qFormat/>
    <w:uiPriority w:val="0"/>
    <w:pPr>
      <w:ind w:firstLine="420"/>
    </w:pPr>
  </w:style>
  <w:style w:type="character" w:styleId="15">
    <w:name w:val="page number"/>
    <w:basedOn w:val="14"/>
    <w:qFormat/>
    <w:uiPriority w:val="0"/>
  </w:style>
  <w:style w:type="paragraph" w:styleId="16">
    <w:name w:val="No Spacing"/>
    <w:autoRedefine/>
    <w:qFormat/>
    <w:uiPriority w:val="1"/>
    <w:pPr>
      <w:widowControl w:val="0"/>
      <w:jc w:val="center"/>
    </w:pPr>
    <w:rPr>
      <w:rFonts w:ascii="Times New Roman" w:hAnsi="Times New Roman" w:eastAsia="黑体" w:cs="Times New Roman"/>
      <w:kern w:val="2"/>
      <w:sz w:val="30"/>
      <w:szCs w:val="24"/>
      <w:lang w:val="en-US" w:eastAsia="zh-CN" w:bidi="ar-SA"/>
    </w:rPr>
  </w:style>
  <w:style w:type="paragraph" w:customStyle="1" w:styleId="17">
    <w:name w:val="正文_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Normal_24"/>
    <w:autoRedefine/>
    <w:qFormat/>
    <w:uiPriority w:val="0"/>
    <w:rPr>
      <w:rFonts w:ascii="Times New Roman" w:hAnsi="Times New Roman" w:eastAsia="Times New Roman" w:cs="Times New Roman"/>
      <w:sz w:val="24"/>
      <w:szCs w:val="24"/>
    </w:rPr>
  </w:style>
  <w:style w:type="paragraph" w:customStyle="1" w:styleId="19">
    <w:name w:val="Normal_25"/>
    <w:autoRedefine/>
    <w:qFormat/>
    <w:uiPriority w:val="0"/>
    <w:rPr>
      <w:rFonts w:ascii="Times New Roman" w:hAnsi="Times New Roman" w:eastAsia="Times New Roman" w:cs="Times New Roman"/>
      <w:sz w:val="24"/>
      <w:szCs w:val="24"/>
    </w:rPr>
  </w:style>
  <w:style w:type="paragraph" w:customStyle="1" w:styleId="20">
    <w:name w:val="正文_2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Normal_20"/>
    <w:autoRedefine/>
    <w:qFormat/>
    <w:uiPriority w:val="0"/>
    <w:rPr>
      <w:rFonts w:ascii="黑体" w:hAnsi="黑体" w:eastAsia="黑体" w:cs="Times New Roman"/>
      <w:b/>
      <w:sz w:val="32"/>
      <w:szCs w:val="24"/>
      <w:lang w:bidi="ar-SA"/>
    </w:rPr>
  </w:style>
  <w:style w:type="paragraph" w:customStyle="1" w:styleId="22">
    <w:name w:val="正文_2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3">
    <w:name w:val="GW-正文"/>
    <w:basedOn w:val="24"/>
    <w:autoRedefine/>
    <w:qFormat/>
    <w:uiPriority w:val="0"/>
  </w:style>
  <w:style w:type="paragraph" w:customStyle="1" w:styleId="24">
    <w:name w:val="正文_8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正文_4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正文_21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正文_21_1"/>
    <w:autoRedefine/>
    <w:qFormat/>
    <w:uiPriority w:val="0"/>
    <w:pPr>
      <w:widowControl w:val="0"/>
      <w:jc w:val="both"/>
    </w:pPr>
    <w:rPr>
      <w:rFonts w:ascii="Times New Roman" w:hAnsi="Times New Roman" w:eastAsia="宋体" w:cs="Times New Roman"/>
      <w:lang w:val="en-US" w:eastAsia="zh-CN" w:bidi="ar-SA"/>
    </w:rPr>
  </w:style>
  <w:style w:type="paragraph" w:customStyle="1" w:styleId="28">
    <w:name w:val="标题 4_1"/>
    <w:basedOn w:val="20"/>
    <w:next w:val="20"/>
    <w:autoRedefine/>
    <w:qFormat/>
    <w:uiPriority w:val="0"/>
    <w:pPr>
      <w:keepNext/>
      <w:keepLines/>
      <w:spacing w:before="280" w:after="290" w:line="372" w:lineRule="auto"/>
      <w:outlineLvl w:val="3"/>
    </w:pPr>
    <w:rPr>
      <w:rFonts w:ascii="Cambria" w:hAnsi="Cambria" w:eastAsia="Times New Roman"/>
      <w:b/>
      <w:bCs/>
      <w:sz w:val="28"/>
      <w:szCs w:val="28"/>
    </w:rPr>
  </w:style>
  <w:style w:type="paragraph" w:customStyle="1" w:styleId="29">
    <w:name w:val="正文_3_0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0">
    <w:name w:val="Normal_19_0"/>
    <w:autoRedefine/>
    <w:qFormat/>
    <w:uiPriority w:val="0"/>
    <w:pPr>
      <w:widowControl w:val="0"/>
      <w:jc w:val="both"/>
    </w:pPr>
    <w:rPr>
      <w:rFonts w:ascii="Calibri" w:hAnsi="Calibri" w:eastAsia="Times New Roman" w:cs="Times New Roman"/>
      <w:kern w:val="2"/>
      <w:sz w:val="21"/>
      <w:szCs w:val="24"/>
      <w:lang w:val="en-US" w:eastAsia="zh-CN" w:bidi="ar-SA"/>
    </w:rPr>
  </w:style>
  <w:style w:type="paragraph" w:customStyle="1" w:styleId="31">
    <w:name w:val="正文_4_0_1"/>
    <w:autoRedefine/>
    <w:qFormat/>
    <w:uiPriority w:val="99"/>
    <w:pPr>
      <w:widowControl w:val="0"/>
      <w:jc w:val="both"/>
    </w:pPr>
    <w:rPr>
      <w:rFonts w:ascii="Times New Roman" w:hAnsi="Times New Roman" w:eastAsia="宋体" w:cs="Times New Roman"/>
      <w:kern w:val="2"/>
      <w:sz w:val="21"/>
      <w:lang w:val="en-US" w:eastAsia="zh-CN" w:bidi="ar-SA"/>
    </w:rPr>
  </w:style>
  <w:style w:type="paragraph" w:customStyle="1" w:styleId="32">
    <w:name w:val="正文_1_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25"/>
    <w:autoRedefine/>
    <w:qFormat/>
    <w:uiPriority w:val="0"/>
    <w:pPr>
      <w:widowControl w:val="0"/>
      <w:jc w:val="both"/>
    </w:pPr>
    <w:rPr>
      <w:rFonts w:ascii="Calibri" w:hAnsi="Calibri" w:eastAsia="宋体" w:cs="Times New Roman"/>
      <w:kern w:val="2"/>
      <w:sz w:val="21"/>
      <w:szCs w:val="22"/>
      <w:lang w:val="en-US" w:eastAsia="zh-CN" w:bidi="ar-SA"/>
    </w:rPr>
  </w:style>
  <w:style w:type="paragraph" w:styleId="34">
    <w:name w:val="List Paragraph"/>
    <w:basedOn w:val="1"/>
    <w:autoRedefine/>
    <w:qFormat/>
    <w:uiPriority w:val="0"/>
    <w:pPr>
      <w:ind w:firstLine="420" w:firstLineChars="200"/>
    </w:pPr>
    <w:rPr>
      <w:rFonts w:ascii="Calibri" w:hAnsi="Calibri"/>
      <w:szCs w:val="22"/>
    </w:rPr>
  </w:style>
  <w:style w:type="paragraph" w:customStyle="1" w:styleId="35">
    <w:name w:val="正文_1"/>
    <w:autoRedefine/>
    <w:qFormat/>
    <w:uiPriority w:val="0"/>
    <w:rPr>
      <w:rFonts w:ascii="Times New Roman" w:hAnsi="Times New Roman" w:eastAsia="宋体" w:cs="Times New Roman"/>
      <w:sz w:val="21"/>
      <w:szCs w:val="22"/>
      <w:lang w:val="en-US" w:eastAsia="zh-CN" w:bidi="ar-SA"/>
    </w:rPr>
  </w:style>
  <w:style w:type="paragraph" w:customStyle="1" w:styleId="36">
    <w:name w:val="Normal_0_7"/>
    <w:autoRedefine/>
    <w:qFormat/>
    <w:uiPriority w:val="0"/>
    <w:rPr>
      <w:rFonts w:ascii="黑体" w:hAnsi="黑体" w:eastAsia="黑体" w:cs="黑体"/>
      <w:b/>
      <w:sz w:val="32"/>
      <w:szCs w:val="24"/>
    </w:rPr>
  </w:style>
  <w:style w:type="paragraph" w:customStyle="1" w:styleId="37">
    <w:name w:val="正文_20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正文_27"/>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
    <w:name w:val="Normal_0_6"/>
    <w:autoRedefine/>
    <w:qFormat/>
    <w:uiPriority w:val="0"/>
    <w:rPr>
      <w:rFonts w:ascii="黑体" w:hAnsi="黑体" w:eastAsia="黑体" w:cs="黑体"/>
      <w:b/>
      <w:sz w:val="32"/>
      <w:szCs w:val="24"/>
    </w:rPr>
  </w:style>
  <w:style w:type="paragraph" w:customStyle="1" w:styleId="40">
    <w:name w:val="Normal_1_5"/>
    <w:autoRedefine/>
    <w:qFormat/>
    <w:uiPriority w:val="0"/>
    <w:rPr>
      <w:rFonts w:ascii="Times New Roman" w:hAnsi="Times New Roman" w:eastAsia="Times New Roman" w:cs="Times New Roman"/>
      <w:sz w:val="24"/>
      <w:szCs w:val="24"/>
    </w:rPr>
  </w:style>
  <w:style w:type="paragraph" w:customStyle="1" w:styleId="41">
    <w:name w:val="Normal_0_5"/>
    <w:autoRedefine/>
    <w:qFormat/>
    <w:uiPriority w:val="0"/>
    <w:rPr>
      <w:rFonts w:ascii="黑体" w:hAnsi="黑体" w:eastAsia="黑体" w:cs="黑体"/>
      <w:b/>
      <w:sz w:val="32"/>
      <w:szCs w:val="24"/>
    </w:rPr>
  </w:style>
  <w:style w:type="paragraph" w:customStyle="1" w:styleId="42">
    <w:name w:val="正文_6_1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
    <w:name w:val="正文_26"/>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Normal_1_4"/>
    <w:autoRedefine/>
    <w:qFormat/>
    <w:uiPriority w:val="0"/>
    <w:rPr>
      <w:rFonts w:ascii="黑体" w:hAnsi="黑体" w:eastAsia="黑体" w:cs="黑体"/>
      <w:b/>
      <w:sz w:val="32"/>
      <w:szCs w:val="24"/>
    </w:rPr>
  </w:style>
  <w:style w:type="paragraph" w:customStyle="1" w:styleId="45">
    <w:name w:val="正文_0_3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6">
    <w:name w:val="正文_0_2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7">
    <w:name w:val="Normal_2_1"/>
    <w:autoRedefine/>
    <w:qFormat/>
    <w:uiPriority w:val="0"/>
    <w:rPr>
      <w:rFonts w:ascii="黑体" w:hAnsi="黑体" w:eastAsia="黑体" w:cs="黑体"/>
      <w:b/>
      <w:sz w:val="32"/>
      <w:szCs w:val="24"/>
    </w:rPr>
  </w:style>
  <w:style w:type="paragraph" w:customStyle="1" w:styleId="48">
    <w:name w:val="正文_1_2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
    <w:name w:val="正文_1_1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正文_1_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Normal_3_1"/>
    <w:autoRedefine/>
    <w:qFormat/>
    <w:uiPriority w:val="0"/>
    <w:rPr>
      <w:rFonts w:ascii="黑体" w:hAnsi="黑体" w:eastAsia="黑体" w:cs="黑体"/>
      <w:b/>
      <w:sz w:val="32"/>
      <w:szCs w:val="24"/>
    </w:rPr>
  </w:style>
  <w:style w:type="paragraph" w:customStyle="1" w:styleId="52">
    <w:name w:val="正文_2_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3">
    <w:name w:val="Normal_4_1"/>
    <w:autoRedefine/>
    <w:qFormat/>
    <w:uiPriority w:val="0"/>
    <w:rPr>
      <w:rFonts w:ascii="黑体" w:hAnsi="黑体" w:eastAsia="黑体" w:cs="黑体"/>
      <w:b/>
      <w:sz w:val="32"/>
      <w:szCs w:val="24"/>
    </w:rPr>
  </w:style>
  <w:style w:type="paragraph" w:customStyle="1" w:styleId="54">
    <w:name w:val="正文_3_0_0_0"/>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5">
    <w:name w:val="Normal_5_1"/>
    <w:autoRedefine/>
    <w:qFormat/>
    <w:uiPriority w:val="0"/>
    <w:rPr>
      <w:rFonts w:ascii="黑体" w:hAnsi="黑体" w:eastAsia="黑体" w:cs="黑体"/>
      <w:b/>
      <w:sz w:val="32"/>
      <w:szCs w:val="24"/>
    </w:rPr>
  </w:style>
  <w:style w:type="paragraph" w:customStyle="1" w:styleId="56">
    <w:name w:val="正文_4_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
    <w:name w:val="正文_5_2_0"/>
    <w:autoRedefine/>
    <w:qFormat/>
    <w:uiPriority w:val="0"/>
    <w:pPr>
      <w:spacing w:after="160" w:line="259" w:lineRule="auto"/>
    </w:pPr>
    <w:rPr>
      <w:rFonts w:ascii="Calibri" w:hAnsi="Calibri" w:eastAsia="宋体" w:cs="Times New Roman"/>
      <w:sz w:val="22"/>
      <w:szCs w:val="22"/>
      <w:lang w:val="en-US" w:eastAsia="zh-CN" w:bidi="ar-SA"/>
    </w:rPr>
  </w:style>
  <w:style w:type="paragraph" w:customStyle="1" w:styleId="58">
    <w:name w:val="Normal_6_1"/>
    <w:autoRedefine/>
    <w:qFormat/>
    <w:uiPriority w:val="0"/>
    <w:rPr>
      <w:rFonts w:ascii="黑体" w:hAnsi="黑体" w:eastAsia="黑体" w:cs="黑体"/>
      <w:b/>
      <w:sz w:val="32"/>
      <w:szCs w:val="24"/>
    </w:rPr>
  </w:style>
  <w:style w:type="paragraph" w:customStyle="1" w:styleId="59">
    <w:name w:val="GW-正文_0_1"/>
    <w:basedOn w:val="60"/>
    <w:autoRedefine/>
    <w:qFormat/>
    <w:uiPriority w:val="0"/>
    <w:pPr>
      <w:spacing w:line="360" w:lineRule="auto"/>
      <w:ind w:firstLine="200" w:firstLineChars="200"/>
      <w:contextualSpacing/>
    </w:pPr>
    <w:rPr>
      <w:rFonts w:ascii="Calibri" w:hAnsi="Calibri" w:eastAsia="宋体"/>
      <w:szCs w:val="24"/>
    </w:rPr>
  </w:style>
  <w:style w:type="paragraph" w:customStyle="1" w:styleId="60">
    <w:name w:val="正文_8_0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61">
    <w:name w:val="正文_8_0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正文_5_4"/>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63">
    <w:name w:val="正文_6_2"/>
    <w:autoRedefine/>
    <w:qFormat/>
    <w:uiPriority w:val="0"/>
    <w:pPr>
      <w:spacing w:after="160" w:line="259" w:lineRule="auto"/>
    </w:pPr>
    <w:rPr>
      <w:rFonts w:ascii="Calibri" w:hAnsi="Calibri" w:eastAsia="宋体" w:cs="Times New Roman"/>
      <w:sz w:val="22"/>
      <w:szCs w:val="22"/>
      <w:lang w:val="en-US" w:eastAsia="zh-CN" w:bidi="ar-SA"/>
    </w:rPr>
  </w:style>
  <w:style w:type="paragraph" w:customStyle="1" w:styleId="64">
    <w:name w:val="Normal_7_1"/>
    <w:autoRedefine/>
    <w:qFormat/>
    <w:uiPriority w:val="0"/>
    <w:rPr>
      <w:rFonts w:ascii="黑体" w:hAnsi="黑体" w:eastAsia="黑体" w:cs="黑体"/>
      <w:b/>
      <w:sz w:val="32"/>
      <w:szCs w:val="24"/>
    </w:rPr>
  </w:style>
  <w:style w:type="paragraph" w:customStyle="1" w:styleId="65">
    <w:name w:val="正文_10_0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66">
    <w:name w:val="GW-正文_0_0_0"/>
    <w:basedOn w:val="65"/>
    <w:autoRedefine/>
    <w:qFormat/>
    <w:uiPriority w:val="0"/>
    <w:pPr>
      <w:spacing w:line="360" w:lineRule="auto"/>
      <w:ind w:firstLine="200" w:firstLineChars="200"/>
      <w:contextualSpacing/>
    </w:pPr>
    <w:rPr>
      <w:rFonts w:ascii="Calibri" w:hAnsi="Calibri" w:eastAsia="宋体" w:cs="Times New Roman"/>
      <w:szCs w:val="24"/>
    </w:rPr>
  </w:style>
  <w:style w:type="paragraph" w:customStyle="1" w:styleId="67">
    <w:name w:val="Normal_8_1"/>
    <w:qFormat/>
    <w:uiPriority w:val="0"/>
    <w:rPr>
      <w:rFonts w:ascii="黑体" w:hAnsi="黑体" w:eastAsia="黑体" w:cs="黑体"/>
      <w:b/>
      <w:sz w:val="32"/>
      <w:szCs w:val="24"/>
    </w:rPr>
  </w:style>
  <w:style w:type="paragraph" w:customStyle="1" w:styleId="68">
    <w:name w:val="正文_14_0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69">
    <w:name w:val="Normal_9_1"/>
    <w:autoRedefine/>
    <w:qFormat/>
    <w:uiPriority w:val="0"/>
    <w:rPr>
      <w:rFonts w:ascii="黑体" w:hAnsi="黑体" w:eastAsia="黑体" w:cs="黑体"/>
      <w:b/>
      <w:sz w:val="32"/>
      <w:szCs w:val="24"/>
    </w:rPr>
  </w:style>
  <w:style w:type="paragraph" w:customStyle="1" w:styleId="70">
    <w:name w:val="正文_15_0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
    <w:name w:val="正文_4_0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72">
    <w:name w:val="Normal_10_1"/>
    <w:autoRedefine/>
    <w:qFormat/>
    <w:uiPriority w:val="0"/>
    <w:rPr>
      <w:rFonts w:ascii="黑体" w:hAnsi="黑体" w:eastAsia="黑体" w:cs="黑体"/>
      <w:b/>
      <w:sz w:val="32"/>
      <w:szCs w:val="24"/>
    </w:rPr>
  </w:style>
  <w:style w:type="paragraph" w:customStyle="1" w:styleId="73">
    <w:name w:val="正文_15_0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74">
    <w:name w:val="Normal_11_1"/>
    <w:autoRedefine/>
    <w:qFormat/>
    <w:uiPriority w:val="0"/>
    <w:rPr>
      <w:rFonts w:ascii="黑体" w:hAnsi="黑体" w:eastAsia="黑体" w:cs="黑体"/>
      <w:b/>
      <w:sz w:val="32"/>
      <w:szCs w:val="24"/>
    </w:rPr>
  </w:style>
  <w:style w:type="paragraph" w:customStyle="1" w:styleId="75">
    <w:name w:val="正文_16_1_0"/>
    <w:qFormat/>
    <w:uiPriority w:val="0"/>
    <w:pPr>
      <w:widowControl w:val="0"/>
      <w:jc w:val="both"/>
    </w:pPr>
    <w:rPr>
      <w:rFonts w:ascii="Calibri" w:hAnsi="Calibri" w:eastAsia="宋体" w:cs="Calibri"/>
      <w:kern w:val="2"/>
      <w:sz w:val="21"/>
      <w:szCs w:val="24"/>
      <w:lang w:val="en-US" w:eastAsia="zh-CN" w:bidi="ar-SA"/>
    </w:rPr>
  </w:style>
  <w:style w:type="paragraph" w:customStyle="1" w:styleId="76">
    <w:name w:val="正文_15_1_0"/>
    <w:qFormat/>
    <w:uiPriority w:val="0"/>
    <w:pPr>
      <w:widowControl w:val="0"/>
      <w:jc w:val="both"/>
    </w:pPr>
    <w:rPr>
      <w:rFonts w:ascii="Calibri" w:hAnsi="Calibri" w:eastAsia="宋体" w:cs="Calibri"/>
      <w:kern w:val="2"/>
      <w:sz w:val="21"/>
      <w:szCs w:val="24"/>
      <w:lang w:val="en-US" w:eastAsia="zh-CN" w:bidi="ar-SA"/>
    </w:rPr>
  </w:style>
  <w:style w:type="paragraph" w:customStyle="1" w:styleId="77">
    <w:name w:val="正文_11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78">
    <w:name w:val="Normal_12_1"/>
    <w:autoRedefine/>
    <w:qFormat/>
    <w:uiPriority w:val="0"/>
    <w:rPr>
      <w:rFonts w:ascii="黑体" w:hAnsi="黑体" w:eastAsia="黑体" w:cs="黑体"/>
      <w:b/>
      <w:sz w:val="32"/>
      <w:szCs w:val="24"/>
    </w:rPr>
  </w:style>
  <w:style w:type="paragraph" w:customStyle="1" w:styleId="79">
    <w:name w:val="正文_12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80">
    <w:name w:val="正文_17_0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81">
    <w:name w:val="正文_21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82">
    <w:name w:val="Normal_13_1"/>
    <w:autoRedefine/>
    <w:qFormat/>
    <w:uiPriority w:val="0"/>
    <w:rPr>
      <w:rFonts w:ascii="黑体" w:hAnsi="黑体" w:eastAsia="黑体" w:cs="黑体"/>
      <w:b/>
      <w:sz w:val="32"/>
      <w:szCs w:val="24"/>
    </w:rPr>
  </w:style>
  <w:style w:type="paragraph" w:customStyle="1" w:styleId="83">
    <w:name w:val="正文_22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84">
    <w:name w:val="正文_18_0_0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85">
    <w:name w:val="Normal_14_1"/>
    <w:autoRedefine/>
    <w:qFormat/>
    <w:uiPriority w:val="0"/>
    <w:rPr>
      <w:rFonts w:ascii="黑体" w:hAnsi="黑体" w:eastAsia="黑体" w:cs="黑体"/>
      <w:b/>
      <w:sz w:val="32"/>
      <w:szCs w:val="24"/>
    </w:rPr>
  </w:style>
  <w:style w:type="paragraph" w:customStyle="1" w:styleId="86">
    <w:name w:val="Normal_15_1"/>
    <w:autoRedefine/>
    <w:qFormat/>
    <w:uiPriority w:val="0"/>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2024-04-01T01:15:00Z</dcterms:created>
  <dc:creator>辰</dc:creator>
  <cp:lastModifiedBy>辰</cp:lastModifiedBy>
  <dcterms:modified xsi:type="dcterms:W3CDTF">2024-04-22T03:46:04Z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2DD9D98EAA2C457787F073520AB8111B_11</vt:lpwstr>
  </property>
</Properties>
</file>